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6013" w:rsidRPr="00EB4BDC" w:rsidRDefault="0046220D" w:rsidP="00E9718B">
      <w:pPr>
        <w:pStyle w:val="Kop1"/>
      </w:pPr>
      <w:bookmarkStart w:id="0" w:name="_GoBack"/>
      <w:bookmarkEnd w:id="0"/>
      <w:r>
        <w:t>De logaritmische U/h relatie in vrij afwaterende gebieden</w:t>
      </w:r>
    </w:p>
    <w:p w:rsidR="00A91D04" w:rsidRPr="00EB4BDC" w:rsidRDefault="0046220D" w:rsidP="00E9718B">
      <w:pPr>
        <w:pStyle w:val="Opmaakprofiel11ptLavendelRechtsBovenEnkelAuto15ptLijndik"/>
      </w:pPr>
      <w:r>
        <w:t>C. van den Akker</w:t>
      </w:r>
      <w:r w:rsidR="00A97994" w:rsidRPr="00EB4BDC">
        <w:rPr>
          <w:rStyle w:val="Voetnootmarkering"/>
          <w:szCs w:val="22"/>
        </w:rPr>
        <w:footnoteReference w:id="1"/>
      </w:r>
    </w:p>
    <w:p w:rsidR="002B37AA" w:rsidRDefault="002B37AA" w:rsidP="002B37AA">
      <w:pPr>
        <w:rPr>
          <w:i/>
        </w:rPr>
      </w:pPr>
    </w:p>
    <w:p w:rsidR="002B37AA" w:rsidRPr="002B37AA" w:rsidRDefault="00516842" w:rsidP="002B37AA">
      <w:pPr>
        <w:rPr>
          <w:i/>
        </w:rPr>
      </w:pPr>
      <w:r>
        <w:rPr>
          <w:i/>
        </w:rPr>
        <w:t>In vervolg op mijn</w:t>
      </w:r>
      <w:r w:rsidR="005A4230">
        <w:rPr>
          <w:i/>
        </w:rPr>
        <w:t xml:space="preserve"> publicaties “Tussen Dupuit en De Glee” en “Een fysische onderbouwing van de overdrachtsfactor” wordt een analyse uitgevoerd op het verloop van de</w:t>
      </w:r>
      <w:r w:rsidR="00FA3131">
        <w:rPr>
          <w:i/>
        </w:rPr>
        <w:t xml:space="preserve"> hyperbolische </w:t>
      </w:r>
      <w:r w:rsidR="005A4230">
        <w:rPr>
          <w:i/>
        </w:rPr>
        <w:t xml:space="preserve"> overdrachtsfactor, de drainageweerstand en de U/h relatie. Er worden formules afgeleid voor de bepaling van de maximale overdrachtsfactor en de maximale drainageweerstand</w:t>
      </w:r>
      <w:r w:rsidR="00FA3131">
        <w:rPr>
          <w:i/>
        </w:rPr>
        <w:t xml:space="preserve"> die optreden ter hoogte van de drainagebasis. De afgeleide logaritmische U/h relatie wordt vergeleken met een gemeten relatie die is gepubliceerd in Ernst (1971). De hyperbolische overdrachtsfactor vormt tevens de basis voor de afleiding van een differentiaalvergelijking</w:t>
      </w:r>
      <w:r w:rsidR="0026238B">
        <w:rPr>
          <w:i/>
        </w:rPr>
        <w:t xml:space="preserve"> voor stationaire stroming naar een volkomen put, waarbij wordt aangetekend dat deze vergelijking alleen geldig is voor grondwaterstanden boven de drainagebasis. Tot slot</w:t>
      </w:r>
      <w:r w:rsidR="00790A19">
        <w:rPr>
          <w:i/>
        </w:rPr>
        <w:t xml:space="preserve"> wordt commentaar gegeven op de publicatie </w:t>
      </w:r>
      <w:r w:rsidR="0026238B">
        <w:rPr>
          <w:i/>
        </w:rPr>
        <w:t xml:space="preserve"> Olsthoorn</w:t>
      </w:r>
      <w:r w:rsidR="00790A19">
        <w:rPr>
          <w:i/>
        </w:rPr>
        <w:t xml:space="preserve"> (2014 b)</w:t>
      </w:r>
      <w:r w:rsidR="0026238B">
        <w:rPr>
          <w:i/>
        </w:rPr>
        <w:t xml:space="preserve"> waarin wordt gesteld dat de toename van de drainage weerstand met de diepte van de grondwaterstand kwadratisch is. Aangetoond wordt dat deze bewering niet correct is op basis van fysische overwegingen, </w:t>
      </w:r>
      <w:r>
        <w:rPr>
          <w:i/>
        </w:rPr>
        <w:t xml:space="preserve">aangehaalde resultaten uit eerdere publicaties en door Olsthoorn </w:t>
      </w:r>
      <w:r w:rsidR="008C26A0">
        <w:rPr>
          <w:i/>
        </w:rPr>
        <w:t>(2014</w:t>
      </w:r>
      <w:r w:rsidR="00790A19">
        <w:rPr>
          <w:i/>
        </w:rPr>
        <w:t xml:space="preserve"> b</w:t>
      </w:r>
      <w:r w:rsidR="008C26A0">
        <w:rPr>
          <w:i/>
        </w:rPr>
        <w:t xml:space="preserve">) </w:t>
      </w:r>
      <w:r>
        <w:rPr>
          <w:i/>
        </w:rPr>
        <w:t>uitgevoerde modelberekeningen.</w:t>
      </w:r>
      <w:r w:rsidR="0026238B">
        <w:rPr>
          <w:i/>
        </w:rPr>
        <w:t xml:space="preserve"> </w:t>
      </w:r>
    </w:p>
    <w:p w:rsidR="00CF3A3F" w:rsidRDefault="00CF3A3F" w:rsidP="00532F01">
      <w:pPr>
        <w:pStyle w:val="Kop2"/>
      </w:pPr>
      <w:r w:rsidRPr="00EB4BDC">
        <w:t>Inleiding</w:t>
      </w:r>
    </w:p>
    <w:p w:rsidR="00620C84" w:rsidRDefault="007669E0" w:rsidP="007669E0">
      <w:r>
        <w:t>In de afgelopen periode is in Stromingen diverse malen aandacht besteed aan  methoden voor het berekenen van verlagingen van grondwaterstanden als gevolg van het onttrekken van grondwater voor de drinkwatervo</w:t>
      </w:r>
      <w:r w:rsidR="005C1221">
        <w:t>orziening. Deze verlagingen vormen</w:t>
      </w:r>
      <w:r>
        <w:t xml:space="preserve"> de basis voor het vaststellen van veranderingen in de verdamping van de vegetatie en vervolgens de opbrengstverandering van landbouwgewassen.</w:t>
      </w:r>
      <w:r w:rsidR="002349FA">
        <w:t xml:space="preserve"> Aangezien in Nederland een gedoogplicht geldt voor deze grondwateronttrekkingen maar tevens ook een recht ontstaat op vergoeding van geleden schade is het van belang te komen tot een gedegen analyse van de te verwachten verlagingen en</w:t>
      </w:r>
      <w:r w:rsidR="005C1221">
        <w:t>,</w:t>
      </w:r>
      <w:r w:rsidR="002349FA">
        <w:t xml:space="preserve"> nadat de grondwateronttrekking is aangevangen</w:t>
      </w:r>
      <w:r w:rsidR="005C1221">
        <w:t>,</w:t>
      </w:r>
      <w:r w:rsidR="008F1FCF">
        <w:t xml:space="preserve"> de installatie van</w:t>
      </w:r>
      <w:r w:rsidR="002349FA">
        <w:t xml:space="preserve"> ee</w:t>
      </w:r>
      <w:r w:rsidR="008F1FCF">
        <w:t>n passend meetnet</w:t>
      </w:r>
      <w:r w:rsidR="002349FA">
        <w:t>.</w:t>
      </w:r>
    </w:p>
    <w:p w:rsidR="00BF20D9" w:rsidRDefault="00620C84" w:rsidP="007669E0">
      <w:r>
        <w:t xml:space="preserve">Parallel </w:t>
      </w:r>
      <w:r w:rsidR="007669E0">
        <w:t xml:space="preserve"> </w:t>
      </w:r>
      <w:r>
        <w:t>aan de onttrekking van grondwater voor allerle</w:t>
      </w:r>
      <w:r w:rsidR="005C1221">
        <w:t>i doeleinden en de uitvoering</w:t>
      </w:r>
      <w:r>
        <w:t xml:space="preserve"> van waterhuishoudkundige ingrepen</w:t>
      </w:r>
      <w:r w:rsidR="003D3F8B">
        <w:t xml:space="preserve"> werd, sinds het midden van de vorige eeuw</w:t>
      </w:r>
      <w:r w:rsidR="00DD7790">
        <w:t>,</w:t>
      </w:r>
      <w:r>
        <w:t xml:space="preserve"> in Nederland een verlaging van de stijghoogte vastgesteld die niet één op één aan een bepaalde oorzaak kon worden gekoppeld. Deze zogenoemde achtergrondverlaging</w:t>
      </w:r>
      <w:r w:rsidR="008F634F">
        <w:t>,</w:t>
      </w:r>
      <w:r>
        <w:t xml:space="preserve"> die op dit moment</w:t>
      </w:r>
      <w:r w:rsidR="00DD7790">
        <w:t xml:space="preserve"> op een aantal decimeters wordt ingeschat,</w:t>
      </w:r>
      <w:r>
        <w:t xml:space="preserve"> is de inzet van een discussie</w:t>
      </w:r>
      <w:r w:rsidR="005C1221">
        <w:t>. Op basis v</w:t>
      </w:r>
      <w:r w:rsidR="0062467F">
        <w:t>an voortschrijdend inzicht,</w:t>
      </w:r>
      <w:r w:rsidR="005C1221">
        <w:t xml:space="preserve"> het ontwikkelen van</w:t>
      </w:r>
      <w:r w:rsidR="0062467F">
        <w:t xml:space="preserve"> rekenmethoden zoals in Van de</w:t>
      </w:r>
      <w:r w:rsidR="008F634F">
        <w:t>n Akker (2013 en 2014</w:t>
      </w:r>
      <w:r w:rsidR="00790A19">
        <w:t xml:space="preserve"> a en b</w:t>
      </w:r>
      <w:r w:rsidR="008F634F">
        <w:t>) en model</w:t>
      </w:r>
      <w:r w:rsidR="0062467F">
        <w:t>studies zoals in Olsthoorn (2014</w:t>
      </w:r>
      <w:r w:rsidR="00790A19">
        <w:t xml:space="preserve"> a</w:t>
      </w:r>
      <w:r w:rsidR="0062467F">
        <w:t>) wordt d</w:t>
      </w:r>
      <w:r w:rsidR="00695380">
        <w:t>uidelijk dat de rekenmethode</w:t>
      </w:r>
      <w:r w:rsidR="0062467F">
        <w:t xml:space="preserve"> van het KWR</w:t>
      </w:r>
      <w:r w:rsidR="00DD7790">
        <w:t>,</w:t>
      </w:r>
      <w:r w:rsidR="00695380">
        <w:t xml:space="preserve"> zoals die is</w:t>
      </w:r>
      <w:r w:rsidR="0062467F">
        <w:t xml:space="preserve"> vastgeleg</w:t>
      </w:r>
      <w:r w:rsidR="007D179D">
        <w:t>d in Maas (2012) voor</w:t>
      </w:r>
      <w:r w:rsidR="007F0602">
        <w:t xml:space="preserve"> het berekenen van</w:t>
      </w:r>
      <w:r w:rsidR="0062467F">
        <w:t xml:space="preserve"> verlagingen door onttrekkingen,</w:t>
      </w:r>
      <w:r w:rsidR="007F0602">
        <w:t xml:space="preserve"> het vaststellen van</w:t>
      </w:r>
      <w:r w:rsidR="0062467F">
        <w:t xml:space="preserve"> de omvang van het beïnvloede gebied en</w:t>
      </w:r>
      <w:r w:rsidR="007F0602">
        <w:t xml:space="preserve"> de bepaling van</w:t>
      </w:r>
      <w:r w:rsidR="0062467F">
        <w:t xml:space="preserve"> de grootte van de achtergrondverlaging</w:t>
      </w:r>
      <w:r w:rsidR="007D179D">
        <w:t>,</w:t>
      </w:r>
      <w:r w:rsidR="0062467F">
        <w:t xml:space="preserve"> als basis voor de schadeberekeningen </w:t>
      </w:r>
      <w:r w:rsidR="008F634F">
        <w:t>in vrij afwaterende gebieden</w:t>
      </w:r>
      <w:r w:rsidR="00924789">
        <w:t>,</w:t>
      </w:r>
      <w:r w:rsidR="008F634F">
        <w:t xml:space="preserve"> </w:t>
      </w:r>
      <w:r w:rsidR="00695380">
        <w:t>niet juist is</w:t>
      </w:r>
      <w:r w:rsidR="0062467F">
        <w:t>.</w:t>
      </w:r>
      <w:r w:rsidR="00695380">
        <w:t xml:space="preserve"> De rekenmethode van het KWR onderschat</w:t>
      </w:r>
      <w:r w:rsidR="008F634F">
        <w:t xml:space="preserve"> de effecten van grondwateronttrekkingen dusdanig dat de uiteindelijk vastgestelde landbouwschade door deze onttrekkingen veel te laag is.</w:t>
      </w:r>
      <w:r w:rsidR="003D3F8B">
        <w:t xml:space="preserve"> </w:t>
      </w:r>
      <w:r w:rsidR="008F1FCF">
        <w:t xml:space="preserve">Het is </w:t>
      </w:r>
      <w:r w:rsidR="008F1FCF">
        <w:lastRenderedPageBreak/>
        <w:t>zeker niet onwaarschijnlijk dat de werkelijk opgetreden landbouwschade in gebieden met een vrije afwatering een factor 4 of 5 hoger is dan</w:t>
      </w:r>
      <w:r w:rsidR="00555D55">
        <w:t xml:space="preserve"> op basis van de verlagingsberek</w:t>
      </w:r>
      <w:r w:rsidR="007F0602">
        <w:t>eningen van het KWR wordt vastgesteld</w:t>
      </w:r>
      <w:r w:rsidR="00555D55">
        <w:t xml:space="preserve">. </w:t>
      </w:r>
    </w:p>
    <w:p w:rsidR="00925887" w:rsidRDefault="00BF20D9" w:rsidP="007669E0">
      <w:r>
        <w:t xml:space="preserve">De </w:t>
      </w:r>
      <w:r w:rsidR="00695380">
        <w:t xml:space="preserve">twijfel over de juistheid van </w:t>
      </w:r>
      <w:r>
        <w:t xml:space="preserve"> gehanteerde rekenmethoden voor de bepaling van de verlagingen en daarmee van de omvang van de achtergrondverlaging bestaat al langer. De vroegere Commissie Deskundigen Grondwater CDG vermeldde reeds in de jaarverslagen in het midden van de jaren 90 de noodzaak tot nader onderzoek naar het fenomeen van de achtergrondverlaging.</w:t>
      </w:r>
      <w:r w:rsidR="00925887">
        <w:t xml:space="preserve"> Onderzoekers van bijvoorb</w:t>
      </w:r>
      <w:r w:rsidR="0072691A">
        <w:t>eeld NITG-TNO stelden</w:t>
      </w:r>
      <w:r w:rsidR="00925887">
        <w:t xml:space="preserve"> dat de achtergrondverlaging mede werd veroorzaakt door grondwateronttrekkingen.</w:t>
      </w:r>
    </w:p>
    <w:p w:rsidR="00925887" w:rsidRDefault="00925887" w:rsidP="007669E0">
      <w:r>
        <w:t>Waarom het noodzakelijke onderzoek niet serieus institutioneel werd opgepakt is o</w:t>
      </w:r>
      <w:r w:rsidR="005746BA">
        <w:t>nduidelijk, wel kan ik mij voorstellen</w:t>
      </w:r>
      <w:r>
        <w:t xml:space="preserve"> dat het belang van bi</w:t>
      </w:r>
      <w:r w:rsidR="005746BA">
        <w:t>jvoorbeeld bedrijven die grondwater onttrekken</w:t>
      </w:r>
      <w:r>
        <w:t xml:space="preserve"> niet was gelegen in het financieren van onderzoek dat mogelijkerwijs zou leiden naar een verklarende relatie tussen onttrekkingen en het ontstaan van de zogenoemde achtergrondverlaging.</w:t>
      </w:r>
    </w:p>
    <w:p w:rsidR="007669E0" w:rsidRPr="007669E0" w:rsidRDefault="009C4637" w:rsidP="007669E0">
      <w:r>
        <w:t>Daar waar instituten het lieten afweten was het uitermate positief dat de NHV wel de handschoen durfde op te pakken. In het najaar van 2013 werd een NHV bijeenkomst georganiseerd met als titel ”De achtergrondverlaging op de voorgrond”.</w:t>
      </w:r>
      <w:r w:rsidR="00555D55">
        <w:t xml:space="preserve"> In deze bijeenkomst heb ik gewezen op de </w:t>
      </w:r>
      <w:r w:rsidR="001A7294">
        <w:t>foutieve interpretatie van de gemeten verlagingen in Maas (2012) aa</w:t>
      </w:r>
      <w:r w:rsidR="005746BA">
        <w:t>n de hand van een rekenmethode</w:t>
      </w:r>
      <w:r w:rsidR="001A7294">
        <w:t xml:space="preserve"> die ik heb beschreven in Van den Akker (2013)</w:t>
      </w:r>
      <w:r w:rsidR="00766C71">
        <w:t>.</w:t>
      </w:r>
      <w:r>
        <w:t xml:space="preserve"> In deze bijeenkomst werd met name door Olsthoorn stevige kritiek uit</w:t>
      </w:r>
      <w:r w:rsidR="00586AE6">
        <w:t>geoefend op mijn</w:t>
      </w:r>
      <w:r w:rsidR="001A7294">
        <w:t xml:space="preserve"> publicatie</w:t>
      </w:r>
      <w:r>
        <w:t xml:space="preserve">. </w:t>
      </w:r>
      <w:r w:rsidR="00586AE6">
        <w:t>De hier</w:t>
      </w:r>
      <w:r w:rsidR="005746BA">
        <w:t>in gepresenteerde rekenmethode, gebaseerd op de klassieke grondwatermechanica,</w:t>
      </w:r>
      <w:r w:rsidR="00586AE6">
        <w:t xml:space="preserve"> zou fysische onderbouwing ontberen en daarmee dus fundamenteel onjuist zijn terwijl de publicatie van Maas (2012), </w:t>
      </w:r>
      <w:r w:rsidR="001A7294">
        <w:t>met daarin de door mij</w:t>
      </w:r>
      <w:r w:rsidR="005746BA">
        <w:t xml:space="preserve"> gewraakte rekenmethode</w:t>
      </w:r>
      <w:r w:rsidR="00BB3EE2">
        <w:t xml:space="preserve"> als briljant werd aangemerkt. Echter na het verschijnen van het artikel Van den Akker (2014</w:t>
      </w:r>
      <w:r w:rsidR="00790A19">
        <w:t xml:space="preserve"> a</w:t>
      </w:r>
      <w:r w:rsidR="00BB3EE2">
        <w:t>)  waarop werd gereageerd met Olsthoorn (2014</w:t>
      </w:r>
      <w:r w:rsidR="00790A19">
        <w:t xml:space="preserve"> b</w:t>
      </w:r>
      <w:r w:rsidR="00BB3EE2">
        <w:t>) is de situatie compleet anders.</w:t>
      </w:r>
      <w:r w:rsidR="00586AE6">
        <w:t xml:space="preserve">  </w:t>
      </w:r>
      <w:r>
        <w:t xml:space="preserve"> </w:t>
      </w:r>
      <w:r w:rsidR="00925887">
        <w:t xml:space="preserve"> </w:t>
      </w:r>
      <w:r w:rsidR="00BF20D9">
        <w:t xml:space="preserve"> </w:t>
      </w:r>
      <w:r w:rsidR="008F1FCF">
        <w:t xml:space="preserve"> </w:t>
      </w:r>
      <w:r w:rsidR="008F634F">
        <w:t xml:space="preserve"> </w:t>
      </w:r>
      <w:r w:rsidR="0062467F">
        <w:t xml:space="preserve"> </w:t>
      </w:r>
      <w:r w:rsidR="005C1221">
        <w:t xml:space="preserve"> </w:t>
      </w:r>
      <w:r w:rsidR="00620C84">
        <w:t xml:space="preserve"> </w:t>
      </w:r>
    </w:p>
    <w:p w:rsidR="00F72B62" w:rsidRDefault="00F72B62" w:rsidP="00DE07B2">
      <w:r>
        <w:t>In zijn artikel Olsthoorn (2014</w:t>
      </w:r>
      <w:r w:rsidR="00790A19">
        <w:t xml:space="preserve"> b</w:t>
      </w:r>
      <w:r>
        <w:t>) omarmt hij het gebruik van een relatie tussen de gebiedsgemiddelde grondwaterstand en de oppervlaktewaterafvoer per eenheidsoppervlak.</w:t>
      </w:r>
    </w:p>
    <w:p w:rsidR="007817F0" w:rsidRDefault="00F72B62" w:rsidP="00DE07B2">
      <w:r>
        <w:t>Hij doet zelfs een poging te komen tot een veralgemenisering van de door mij gepresenteerde rekenmethode en hij kwalificeert mijn aanpak als wiskundig wel juist maar niet fysisch onderbouwd en daarmee dus minder correct waar zijn uitwerking wel een ge</w:t>
      </w:r>
      <w:r w:rsidR="00766C71">
        <w:t>degen fysische onderbouwing zou kennen</w:t>
      </w:r>
      <w:r>
        <w:t>.</w:t>
      </w:r>
    </w:p>
    <w:p w:rsidR="00E668C6" w:rsidRDefault="007817F0" w:rsidP="00E668C6">
      <w:r>
        <w:t xml:space="preserve">Over dit laatste verschil ik van mening met Olsthoorn en ik wil hierna duidelijk maken waar hij zowel op de fysische onderbouwing, het refereren aan de resultaten van mijn artikelen als de interpretatie van de geohydrologische situatie in vrij afwaterende </w:t>
      </w:r>
      <w:r w:rsidR="00960C11">
        <w:t>gebieden fouten maakt</w:t>
      </w:r>
      <w:r w:rsidR="00D253EE">
        <w:t>.</w:t>
      </w:r>
    </w:p>
    <w:p w:rsidR="00461BE5" w:rsidRDefault="00E668C6" w:rsidP="00E668C6">
      <w:pPr>
        <w:pStyle w:val="Kop2"/>
      </w:pPr>
      <w:r>
        <w:t>Analyse van de logaritmische U/h relatie in vrij afwaterende gebieden</w:t>
      </w:r>
    </w:p>
    <w:p w:rsidR="00E668C6" w:rsidRDefault="00E668C6" w:rsidP="00217B96"/>
    <w:p w:rsidR="009F61FB" w:rsidRDefault="00217B96" w:rsidP="00217B96">
      <w:r>
        <w:t>In Van</w:t>
      </w:r>
      <w:r w:rsidR="009117EB">
        <w:t xml:space="preserve"> </w:t>
      </w:r>
      <w:r>
        <w:t>den Akker ( 2013 en 2014</w:t>
      </w:r>
      <w:r w:rsidR="00790A19">
        <w:t xml:space="preserve"> a</w:t>
      </w:r>
      <w:r w:rsidR="005746BA">
        <w:t>) is een rekenmethode</w:t>
      </w:r>
      <w:r>
        <w:t xml:space="preserve"> beschreven voor het analyseren van de verandering van de grondwaterstand als gevolg van een verandering in de stijghoogte in een pakket met gedeeltelijk afgesloten grondwater. Het betreft een regionale analyse in een vrij afwaterend gebi</w:t>
      </w:r>
      <w:r w:rsidR="00A25DC7">
        <w:t>ed</w:t>
      </w:r>
      <w:r>
        <w:t>.</w:t>
      </w:r>
      <w:r w:rsidR="009F61FB">
        <w:t xml:space="preserve"> Bij de analyse wordt uitgegaan van de geohydrologische schematisering in afbeelding 1 en de volgende aannames:</w:t>
      </w:r>
    </w:p>
    <w:p w:rsidR="009F61FB" w:rsidRDefault="009F61FB" w:rsidP="009F61FB">
      <w:pPr>
        <w:numPr>
          <w:ilvl w:val="0"/>
          <w:numId w:val="3"/>
        </w:numPr>
      </w:pPr>
      <w:r>
        <w:t>Eén watervoerend pakket met gedeeltelijk afgesloten grondwater en een doorlaatvermogen dat relatief hoog is</w:t>
      </w:r>
    </w:p>
    <w:p w:rsidR="009F61FB" w:rsidRDefault="009F61FB" w:rsidP="009F61FB">
      <w:pPr>
        <w:numPr>
          <w:ilvl w:val="0"/>
          <w:numId w:val="3"/>
        </w:numPr>
      </w:pPr>
      <w:r>
        <w:t>Op dit pakket een minder goed doorlatende laag met een betrekkelijk lage hydraulische weerstand van minder dan één of tweeduizend dagen</w:t>
      </w:r>
    </w:p>
    <w:p w:rsidR="009F61FB" w:rsidRDefault="009F61FB" w:rsidP="009F61FB">
      <w:pPr>
        <w:numPr>
          <w:ilvl w:val="0"/>
          <w:numId w:val="3"/>
        </w:numPr>
      </w:pPr>
      <w:r>
        <w:t>De horizontale stroming in het freatische pakket is verwaarloosbaar klein</w:t>
      </w:r>
    </w:p>
    <w:p w:rsidR="009117EB" w:rsidRDefault="009F61FB" w:rsidP="009F61FB">
      <w:pPr>
        <w:numPr>
          <w:ilvl w:val="0"/>
          <w:numId w:val="3"/>
        </w:numPr>
      </w:pPr>
      <w:r>
        <w:lastRenderedPageBreak/>
        <w:t>Er geldt een niet-lineair</w:t>
      </w:r>
      <w:r w:rsidR="009117EB">
        <w:t>e relatie tussen de oppervlaktewater afvoer per eenheidsoppervlak en de gebiedsgemiddelde grondwaterstand</w:t>
      </w:r>
    </w:p>
    <w:p w:rsidR="009117EB" w:rsidRDefault="009117EB" w:rsidP="009F61FB">
      <w:pPr>
        <w:numPr>
          <w:ilvl w:val="0"/>
          <w:numId w:val="3"/>
        </w:numPr>
      </w:pPr>
      <w:r>
        <w:t>Er is sprake van stationaire grondwaterstroming</w:t>
      </w:r>
    </w:p>
    <w:p w:rsidR="00E668C6" w:rsidRDefault="00E668C6" w:rsidP="00E668C6"/>
    <w:p w:rsidR="00E668C6" w:rsidRDefault="00E668C6" w:rsidP="00E668C6"/>
    <w:p w:rsidR="00E668C6" w:rsidRDefault="00E97547" w:rsidP="00E668C6">
      <w:r>
        <w:rPr>
          <w:noProof/>
        </w:rPr>
        <w:drawing>
          <wp:inline distT="0" distB="0" distL="0" distR="0">
            <wp:extent cx="4926841" cy="1433014"/>
            <wp:effectExtent l="0" t="0" r="762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0012015_00001.bmp"/>
                    <pic:cNvPicPr/>
                  </pic:nvPicPr>
                  <pic:blipFill rotWithShape="1">
                    <a:blip r:embed="rId8" cstate="print">
                      <a:extLst>
                        <a:ext uri="{28A0092B-C50C-407E-A947-70E740481C1C}">
                          <a14:useLocalDpi xmlns:a14="http://schemas.microsoft.com/office/drawing/2010/main" val="0"/>
                        </a:ext>
                      </a:extLst>
                    </a:blip>
                    <a:srcRect t="1359" b="78247"/>
                    <a:stretch/>
                  </pic:blipFill>
                  <pic:spPr bwMode="auto">
                    <a:xfrm>
                      <a:off x="0" y="0"/>
                      <a:ext cx="4928235" cy="1433420"/>
                    </a:xfrm>
                    <a:prstGeom prst="rect">
                      <a:avLst/>
                    </a:prstGeom>
                    <a:ln>
                      <a:noFill/>
                    </a:ln>
                    <a:extLst>
                      <a:ext uri="{53640926-AAD7-44D8-BBD7-CCE9431645EC}">
                        <a14:shadowObscured xmlns:a14="http://schemas.microsoft.com/office/drawing/2010/main"/>
                      </a:ext>
                    </a:extLst>
                  </pic:spPr>
                </pic:pic>
              </a:graphicData>
            </a:graphic>
          </wp:inline>
        </w:drawing>
      </w:r>
    </w:p>
    <w:p w:rsidR="00E668C6" w:rsidRPr="005F26E3" w:rsidRDefault="005F26E3" w:rsidP="00E668C6">
      <w:pPr>
        <w:rPr>
          <w:b/>
        </w:rPr>
      </w:pPr>
      <w:r>
        <w:rPr>
          <w:b/>
        </w:rPr>
        <w:t>Afbeelding 1:</w:t>
      </w:r>
      <w:r w:rsidR="003A5973">
        <w:t xml:space="preserve"> G</w:t>
      </w:r>
      <w:r w:rsidRPr="003A5973">
        <w:t>eohydrologische schematisering</w:t>
      </w:r>
    </w:p>
    <w:p w:rsidR="009117EB" w:rsidRDefault="009117EB" w:rsidP="009117EB"/>
    <w:p w:rsidR="00E578A5" w:rsidRDefault="009117EB" w:rsidP="00E578A5">
      <w:r>
        <w:t>In Van den Akker (2013) wordt de verandering van de gebiedsgemiddelde grondwaterstand als gevolg van een verandering van de stijg</w:t>
      </w:r>
      <w:r w:rsidR="00E9643A">
        <w:t>hoogte aangeduid als de overdracht</w:t>
      </w:r>
      <w:r>
        <w:t>sfactor</w:t>
      </w:r>
      <w:r w:rsidR="00E9643A">
        <w:t xml:space="preserve"> </w:t>
      </w:r>
      <w:r w:rsidR="00E9643A">
        <w:rPr>
          <w:i/>
        </w:rPr>
        <w:t>F</w:t>
      </w:r>
      <w:r w:rsidR="00E9643A">
        <w:t xml:space="preserve"> </w:t>
      </w:r>
      <w:r>
        <w:t xml:space="preserve"> waarvoor ge</w:t>
      </w:r>
      <w:r w:rsidR="00E578A5">
        <w:t>ldt</w:t>
      </w:r>
      <w:r w:rsidR="00E9643A">
        <w:t>:</w:t>
      </w:r>
    </w:p>
    <w:p w:rsidR="00E578A5" w:rsidRDefault="00E578A5" w:rsidP="00E578A5"/>
    <w:p w:rsidR="00E578A5" w:rsidRPr="00C272C8" w:rsidRDefault="00BF0CF0" w:rsidP="00E578A5">
      <m:oMathPara>
        <m:oMath>
          <m:f>
            <m:fPr>
              <m:ctrlPr>
                <w:rPr>
                  <w:rFonts w:ascii="Cambria Math" w:hAnsi="Cambria Math"/>
                  <w:i/>
                </w:rPr>
              </m:ctrlPr>
            </m:fPr>
            <m:num>
              <m:r>
                <w:rPr>
                  <w:rFonts w:ascii="Cambria Math" w:hAnsi="Cambria Math"/>
                </w:rPr>
                <m:t>dh</m:t>
              </m:r>
            </m:num>
            <m:den>
              <m:r>
                <w:rPr>
                  <w:rFonts w:ascii="Cambria Math" w:hAnsi="Cambria Math"/>
                </w:rPr>
                <m:t>dφ</m:t>
              </m:r>
            </m:den>
          </m:f>
          <m:r>
            <w:rPr>
              <w:rFonts w:ascii="Cambria Math" w:hAnsi="Cambria Math"/>
            </w:rPr>
            <m:t>=F                                                                                                                                                                                            (1)</m:t>
          </m:r>
        </m:oMath>
      </m:oMathPara>
    </w:p>
    <w:p w:rsidR="00C272C8" w:rsidRPr="00C272C8" w:rsidRDefault="00C272C8" w:rsidP="00E578A5"/>
    <w:p w:rsidR="00E578A5" w:rsidRPr="00E578A5" w:rsidRDefault="00E578A5" w:rsidP="00E578A5">
      <w:pPr>
        <w:rPr>
          <w:rFonts w:cs="Lucida Sans"/>
          <w:szCs w:val="16"/>
        </w:rPr>
      </w:pPr>
      <w:r>
        <w:rPr>
          <w:rFonts w:cs="Lucida Sans"/>
          <w:szCs w:val="16"/>
        </w:rPr>
        <w:t>waarin:</w:t>
      </w:r>
    </w:p>
    <w:p w:rsidR="00E578A5" w:rsidRDefault="00E578A5" w:rsidP="00E578A5">
      <w:pPr>
        <w:rPr>
          <w:rFonts w:eastAsiaTheme="minorEastAsia"/>
        </w:rPr>
      </w:pPr>
      <w:r>
        <w:rPr>
          <w:rFonts w:eastAsiaTheme="minorEastAsia"/>
          <w:i/>
        </w:rPr>
        <w:t>h</w:t>
      </w:r>
      <w:r>
        <w:rPr>
          <w:rFonts w:eastAsiaTheme="minorEastAsia"/>
        </w:rPr>
        <w:t xml:space="preserve">   =  freatische grondwaterstand  [m]</w:t>
      </w:r>
    </w:p>
    <w:p w:rsidR="00E578A5" w:rsidRDefault="00E578A5" w:rsidP="00E578A5">
      <w:pPr>
        <w:rPr>
          <w:rFonts w:eastAsiaTheme="minorEastAsia"/>
        </w:rPr>
      </w:pPr>
      <w:r>
        <w:rPr>
          <w:rFonts w:ascii="Arial" w:eastAsiaTheme="minorEastAsia" w:hAnsi="Arial" w:cs="Arial"/>
          <w:i/>
        </w:rPr>
        <w:t>φ</w:t>
      </w:r>
      <w:r>
        <w:rPr>
          <w:rFonts w:eastAsiaTheme="minorEastAsia"/>
        </w:rPr>
        <w:t xml:space="preserve">   = stijghoogte in het watervoerende pakket  [m]</w:t>
      </w:r>
    </w:p>
    <w:p w:rsidR="00E9643A" w:rsidRDefault="00E9643A" w:rsidP="00E578A5">
      <w:pPr>
        <w:rPr>
          <w:rFonts w:eastAsiaTheme="minorEastAsia"/>
        </w:rPr>
      </w:pPr>
    </w:p>
    <w:p w:rsidR="00E9643A" w:rsidRDefault="00E9643A" w:rsidP="00E578A5">
      <w:pPr>
        <w:rPr>
          <w:rFonts w:eastAsiaTheme="minorEastAsia"/>
        </w:rPr>
      </w:pPr>
      <w:r>
        <w:rPr>
          <w:rFonts w:eastAsiaTheme="minorEastAsia"/>
        </w:rPr>
        <w:t xml:space="preserve">De waarde van </w:t>
      </w:r>
      <w:r>
        <w:rPr>
          <w:rFonts w:eastAsiaTheme="minorEastAsia"/>
          <w:i/>
        </w:rPr>
        <w:t>F</w:t>
      </w:r>
      <w:r>
        <w:rPr>
          <w:rFonts w:eastAsiaTheme="minorEastAsia"/>
        </w:rPr>
        <w:t xml:space="preserve"> ligt tussen 0 en 1 en </w:t>
      </w:r>
      <w:r>
        <w:rPr>
          <w:rFonts w:eastAsiaTheme="minorEastAsia"/>
          <w:i/>
        </w:rPr>
        <w:t>F</w:t>
      </w:r>
      <w:r w:rsidR="00607BD9">
        <w:rPr>
          <w:rFonts w:eastAsiaTheme="minorEastAsia"/>
        </w:rPr>
        <w:t xml:space="preserve"> hangt</w:t>
      </w:r>
      <w:r>
        <w:rPr>
          <w:rFonts w:eastAsiaTheme="minorEastAsia"/>
        </w:rPr>
        <w:t xml:space="preserve"> af van de mate waarin het oppervlaktewatersysteem de grondwaterstand reguleert</w:t>
      </w:r>
      <w:r w:rsidR="00634215">
        <w:rPr>
          <w:rFonts w:eastAsiaTheme="minorEastAsia"/>
        </w:rPr>
        <w:t xml:space="preserve"> in een gegeven </w:t>
      </w:r>
      <w:r w:rsidR="00957D6D">
        <w:rPr>
          <w:rFonts w:eastAsiaTheme="minorEastAsia"/>
        </w:rPr>
        <w:t>geo</w:t>
      </w:r>
      <w:r w:rsidR="00634215">
        <w:rPr>
          <w:rFonts w:eastAsiaTheme="minorEastAsia"/>
        </w:rPr>
        <w:t xml:space="preserve">hydrologische situatie, </w:t>
      </w:r>
      <w:r>
        <w:rPr>
          <w:rFonts w:eastAsiaTheme="minorEastAsia"/>
        </w:rPr>
        <w:t xml:space="preserve"> Van den Akker (2013).</w:t>
      </w:r>
    </w:p>
    <w:p w:rsidR="00E9643A" w:rsidRDefault="00E9643A" w:rsidP="00E578A5">
      <w:pPr>
        <w:rPr>
          <w:rFonts w:eastAsiaTheme="minorEastAsia"/>
        </w:rPr>
      </w:pPr>
      <w:r>
        <w:rPr>
          <w:rFonts w:eastAsiaTheme="minorEastAsia"/>
        </w:rPr>
        <w:t>Eveneens geldt</w:t>
      </w:r>
      <w:r w:rsidR="00E71670">
        <w:rPr>
          <w:rFonts w:eastAsiaTheme="minorEastAsia"/>
        </w:rPr>
        <w:t>, Van den Akker (2014</w:t>
      </w:r>
      <w:r w:rsidR="00790A19">
        <w:rPr>
          <w:rFonts w:eastAsiaTheme="minorEastAsia"/>
        </w:rPr>
        <w:t xml:space="preserve"> a</w:t>
      </w:r>
      <w:r w:rsidR="00E71670">
        <w:rPr>
          <w:rFonts w:eastAsiaTheme="minorEastAsia"/>
        </w:rPr>
        <w:t>),</w:t>
      </w:r>
      <w:r w:rsidR="00960C11">
        <w:rPr>
          <w:rFonts w:eastAsiaTheme="minorEastAsia"/>
        </w:rPr>
        <w:t xml:space="preserve"> dat</w:t>
      </w:r>
      <w:r>
        <w:rPr>
          <w:rFonts w:eastAsiaTheme="minorEastAsia"/>
        </w:rPr>
        <w:t xml:space="preserve"> op basis</w:t>
      </w:r>
      <w:r w:rsidR="00E71670">
        <w:rPr>
          <w:rFonts w:eastAsiaTheme="minorEastAsia"/>
        </w:rPr>
        <w:t xml:space="preserve"> van de wet van Darcy</w:t>
      </w:r>
      <w:r w:rsidR="00960C11">
        <w:rPr>
          <w:rFonts w:eastAsiaTheme="minorEastAsia"/>
        </w:rPr>
        <w:t xml:space="preserve">  de verandering van de volumestroomdichtheid door de scheidende laag gelijk is aan:</w:t>
      </w:r>
      <w:r w:rsidR="003F0803">
        <w:rPr>
          <w:rFonts w:eastAsiaTheme="minorEastAsia"/>
        </w:rPr>
        <w:t xml:space="preserve"> </w:t>
      </w:r>
    </w:p>
    <w:p w:rsidR="003F0803" w:rsidRDefault="003F0803" w:rsidP="00E578A5">
      <w:pPr>
        <w:rPr>
          <w:rFonts w:eastAsiaTheme="minorEastAsia"/>
        </w:rPr>
      </w:pPr>
    </w:p>
    <w:p w:rsidR="003F0803" w:rsidRPr="003F0803" w:rsidRDefault="00BF0CF0" w:rsidP="00E578A5">
      <w:pPr>
        <w:rPr>
          <w:rFonts w:eastAsiaTheme="minorEastAsia"/>
        </w:rPr>
      </w:pPr>
      <m:oMathPara>
        <m:oMathParaPr>
          <m:jc m:val="left"/>
        </m:oMathParaPr>
        <m:oMath>
          <m:f>
            <m:fPr>
              <m:ctrlPr>
                <w:rPr>
                  <w:rFonts w:ascii="Cambria Math" w:eastAsiaTheme="minorEastAsia" w:hAnsi="Cambria Math"/>
                  <w:i/>
                </w:rPr>
              </m:ctrlPr>
            </m:fPr>
            <m:num>
              <m:r>
                <w:rPr>
                  <w:rFonts w:ascii="Cambria Math" w:eastAsiaTheme="minorEastAsia" w:hAnsi="Cambria Math"/>
                </w:rPr>
                <m:t>dq</m:t>
              </m:r>
            </m:num>
            <m:den>
              <m:r>
                <w:rPr>
                  <w:rFonts w:ascii="Cambria Math" w:eastAsiaTheme="minorEastAsia" w:hAnsi="Cambria Math"/>
                </w:rPr>
                <m:t>dh</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c</m:t>
              </m:r>
            </m:den>
          </m:f>
          <m:d>
            <m:dPr>
              <m:ctrlPr>
                <w:rPr>
                  <w:rFonts w:ascii="Cambria Math" w:eastAsiaTheme="minorEastAsia" w:hAnsi="Cambria Math"/>
                  <w:i/>
                </w:rPr>
              </m:ctrlPr>
            </m:dPr>
            <m:e>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dφ</m:t>
                  </m:r>
                </m:num>
                <m:den>
                  <m:r>
                    <w:rPr>
                      <w:rFonts w:ascii="Cambria Math" w:eastAsiaTheme="minorEastAsia" w:hAnsi="Cambria Math"/>
                    </w:rPr>
                    <m:t>dh</m:t>
                  </m:r>
                </m:den>
              </m:f>
            </m:e>
          </m:d>
          <m:r>
            <w:rPr>
              <w:rFonts w:ascii="Cambria Math" w:eastAsiaTheme="minorEastAsia" w:hAnsi="Cambria Math"/>
            </w:rPr>
            <m:t xml:space="preserve">                                                                                                                                                                                (2)</m:t>
          </m:r>
        </m:oMath>
      </m:oMathPara>
    </w:p>
    <w:p w:rsidR="003F0803" w:rsidRDefault="003F0803" w:rsidP="003F0803">
      <w:pPr>
        <w:rPr>
          <w:rFonts w:eastAsiaTheme="minorEastAsia"/>
        </w:rPr>
      </w:pPr>
    </w:p>
    <w:p w:rsidR="003F0803" w:rsidRDefault="003F0803" w:rsidP="003F0803">
      <w:pPr>
        <w:rPr>
          <w:rFonts w:eastAsiaTheme="minorEastAsia"/>
        </w:rPr>
      </w:pPr>
      <w:r>
        <w:rPr>
          <w:rFonts w:eastAsiaTheme="minorEastAsia"/>
        </w:rPr>
        <w:t>waarin:</w:t>
      </w:r>
    </w:p>
    <w:p w:rsidR="003F0803" w:rsidRDefault="003F0803" w:rsidP="003F0803">
      <w:pPr>
        <w:rPr>
          <w:rFonts w:eastAsiaTheme="minorEastAsia"/>
        </w:rPr>
      </w:pPr>
      <w:r>
        <w:rPr>
          <w:rFonts w:eastAsiaTheme="minorEastAsia"/>
          <w:i/>
        </w:rPr>
        <w:t>c</w:t>
      </w:r>
      <w:r>
        <w:rPr>
          <w:rFonts w:eastAsiaTheme="minorEastAsia"/>
        </w:rPr>
        <w:t xml:space="preserve">    = hydraulische weerstand van de scheidende laag [dagen]</w:t>
      </w:r>
    </w:p>
    <w:p w:rsidR="003F0803" w:rsidRDefault="003F0803" w:rsidP="003F0803">
      <w:pPr>
        <w:rPr>
          <w:rFonts w:eastAsiaTheme="minorEastAsia"/>
        </w:rPr>
      </w:pPr>
    </w:p>
    <w:p w:rsidR="003F0803" w:rsidRDefault="003F0803" w:rsidP="003F0803">
      <w:pPr>
        <w:rPr>
          <w:rFonts w:eastAsiaTheme="minorEastAsia"/>
        </w:rPr>
      </w:pPr>
      <w:r>
        <w:rPr>
          <w:rFonts w:eastAsiaTheme="minorEastAsia"/>
        </w:rPr>
        <w:t xml:space="preserve">Aangezien de horizontale stroming in het freatische pakket verwaarloosbaar klein wordt aangenomen, kan worden gesteld dat een verandering van de volumestroomdichtheid door de scheidende laag wordt gecompenseerd door de verandering </w:t>
      </w:r>
      <w:r w:rsidR="001B5BB8">
        <w:rPr>
          <w:rFonts w:eastAsiaTheme="minorEastAsia"/>
        </w:rPr>
        <w:t>van de</w:t>
      </w:r>
      <w:r w:rsidR="00960C11">
        <w:rPr>
          <w:rFonts w:eastAsiaTheme="minorEastAsia"/>
        </w:rPr>
        <w:t xml:space="preserve"> oppervlaktewater afvoer</w:t>
      </w:r>
      <w:r w:rsidR="001B5BB8">
        <w:rPr>
          <w:rFonts w:eastAsiaTheme="minorEastAsia"/>
        </w:rPr>
        <w:t>, dus:</w:t>
      </w:r>
    </w:p>
    <w:p w:rsidR="001B5BB8" w:rsidRDefault="001B5BB8" w:rsidP="003F0803">
      <w:pPr>
        <w:rPr>
          <w:rFonts w:eastAsiaTheme="minorEastAsia"/>
        </w:rPr>
      </w:pPr>
    </w:p>
    <w:p w:rsidR="001B5BB8" w:rsidRPr="001B5BB8" w:rsidRDefault="00BF0CF0" w:rsidP="003F0803">
      <w:pPr>
        <w:rPr>
          <w:rFonts w:eastAsiaTheme="minorEastAsia"/>
        </w:rPr>
      </w:pPr>
      <m:oMathPara>
        <m:oMathParaPr>
          <m:jc m:val="left"/>
        </m:oMathParaPr>
        <m:oMath>
          <m:f>
            <m:fPr>
              <m:ctrlPr>
                <w:rPr>
                  <w:rFonts w:ascii="Cambria Math" w:eastAsiaTheme="minorEastAsia" w:hAnsi="Cambria Math"/>
                  <w:i/>
                </w:rPr>
              </m:ctrlPr>
            </m:fPr>
            <m:num>
              <m:r>
                <w:rPr>
                  <w:rFonts w:ascii="Cambria Math" w:eastAsiaTheme="minorEastAsia" w:hAnsi="Cambria Math"/>
                </w:rPr>
                <m:t>dq</m:t>
              </m:r>
            </m:num>
            <m:den>
              <m:r>
                <w:rPr>
                  <w:rFonts w:ascii="Cambria Math" w:eastAsiaTheme="minorEastAsia" w:hAnsi="Cambria Math"/>
                </w:rPr>
                <m:t>dh</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dU</m:t>
              </m:r>
            </m:num>
            <m:den>
              <m:r>
                <w:rPr>
                  <w:rFonts w:ascii="Cambria Math" w:eastAsiaTheme="minorEastAsia" w:hAnsi="Cambria Math"/>
                </w:rPr>
                <m:t>dh</m:t>
              </m:r>
            </m:den>
          </m:f>
          <m:r>
            <w:rPr>
              <w:rFonts w:ascii="Cambria Math" w:eastAsiaTheme="minorEastAsia" w:hAnsi="Cambria Math"/>
            </w:rPr>
            <m:t xml:space="preserve">                                                                                                                                                                                                    (3)</m:t>
          </m:r>
        </m:oMath>
      </m:oMathPara>
    </w:p>
    <w:p w:rsidR="001B5BB8" w:rsidRDefault="001B5BB8" w:rsidP="003F0803">
      <w:pPr>
        <w:rPr>
          <w:rFonts w:eastAsiaTheme="minorEastAsia"/>
        </w:rPr>
      </w:pPr>
    </w:p>
    <w:p w:rsidR="001B5BB8" w:rsidRDefault="000455C6" w:rsidP="003F0803">
      <w:pPr>
        <w:rPr>
          <w:rFonts w:eastAsiaTheme="minorEastAsia"/>
        </w:rPr>
      </w:pPr>
      <w:r>
        <w:rPr>
          <w:rFonts w:eastAsiaTheme="minorEastAsia"/>
        </w:rPr>
        <w:t>Daarmee is:</w:t>
      </w:r>
    </w:p>
    <w:p w:rsidR="00E44038" w:rsidRDefault="00E44038" w:rsidP="003F0803">
      <w:pPr>
        <w:rPr>
          <w:rFonts w:eastAsiaTheme="minorEastAsia"/>
        </w:rPr>
      </w:pPr>
    </w:p>
    <w:p w:rsidR="001B5BB8" w:rsidRPr="00B87B2D" w:rsidRDefault="00BF0CF0" w:rsidP="003F0803">
      <w:pPr>
        <w:rPr>
          <w:rFonts w:eastAsiaTheme="minorEastAsia"/>
        </w:rPr>
      </w:pPr>
      <m:oMathPara>
        <m:oMathParaPr>
          <m:jc m:val="left"/>
        </m:oMathParaPr>
        <m:oMath>
          <m:f>
            <m:fPr>
              <m:ctrlPr>
                <w:rPr>
                  <w:rFonts w:ascii="Cambria Math" w:eastAsiaTheme="minorEastAsia" w:hAnsi="Cambria Math"/>
                  <w:i/>
                </w:rPr>
              </m:ctrlPr>
            </m:fPr>
            <m:num>
              <m:r>
                <w:rPr>
                  <w:rFonts w:ascii="Cambria Math" w:eastAsiaTheme="minorEastAsia" w:hAnsi="Cambria Math"/>
                </w:rPr>
                <m:t>dU</m:t>
              </m:r>
            </m:num>
            <m:den>
              <m:r>
                <w:rPr>
                  <w:rFonts w:ascii="Cambria Math" w:eastAsiaTheme="minorEastAsia" w:hAnsi="Cambria Math"/>
                </w:rPr>
                <m:t>dh</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c</m:t>
              </m:r>
            </m:den>
          </m:f>
          <m:d>
            <m:dPr>
              <m:ctrlPr>
                <w:rPr>
                  <w:rFonts w:ascii="Cambria Math" w:eastAsiaTheme="minorEastAsia" w:hAnsi="Cambria Math"/>
                  <w:i/>
                </w:rPr>
              </m:ctrlPr>
            </m:dPr>
            <m:e>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e>
          </m:d>
          <m:r>
            <w:rPr>
              <w:rFonts w:ascii="Cambria Math" w:eastAsiaTheme="minorEastAsia" w:hAnsi="Cambria Math"/>
            </w:rPr>
            <m:t xml:space="preserve">         of           F=</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c</m:t>
              </m:r>
              <m:f>
                <m:fPr>
                  <m:ctrlPr>
                    <w:rPr>
                      <w:rFonts w:ascii="Cambria Math" w:eastAsiaTheme="minorEastAsia" w:hAnsi="Cambria Math"/>
                      <w:i/>
                    </w:rPr>
                  </m:ctrlPr>
                </m:fPr>
                <m:num>
                  <m:r>
                    <w:rPr>
                      <w:rFonts w:ascii="Cambria Math" w:eastAsiaTheme="minorEastAsia" w:hAnsi="Cambria Math"/>
                    </w:rPr>
                    <m:t>dU</m:t>
                  </m:r>
                </m:num>
                <m:den>
                  <m:r>
                    <w:rPr>
                      <w:rFonts w:ascii="Cambria Math" w:eastAsiaTheme="minorEastAsia" w:hAnsi="Cambria Math"/>
                    </w:rPr>
                    <m:t>dh</m:t>
                  </m:r>
                </m:den>
              </m:f>
              <m:r>
                <w:rPr>
                  <w:rFonts w:ascii="Cambria Math" w:eastAsiaTheme="minorEastAsia" w:hAnsi="Cambria Math"/>
                </w:rPr>
                <m:t>+1</m:t>
              </m:r>
            </m:den>
          </m:f>
          <m:r>
            <w:rPr>
              <w:rFonts w:ascii="Cambria Math" w:eastAsiaTheme="minorEastAsia" w:hAnsi="Cambria Math"/>
            </w:rPr>
            <m:t xml:space="preserve">                                                                                                                               (4)</m:t>
          </m:r>
        </m:oMath>
      </m:oMathPara>
    </w:p>
    <w:p w:rsidR="00B87B2D" w:rsidRPr="00634215" w:rsidRDefault="00B87B2D" w:rsidP="003F0803">
      <w:pPr>
        <w:rPr>
          <w:rFonts w:eastAsiaTheme="minorEastAsia"/>
        </w:rPr>
      </w:pPr>
    </w:p>
    <w:p w:rsidR="00E44038" w:rsidRDefault="00E44038" w:rsidP="003F0803">
      <w:pPr>
        <w:rPr>
          <w:rFonts w:eastAsiaTheme="minorEastAsia"/>
        </w:rPr>
      </w:pPr>
    </w:p>
    <w:p w:rsidR="00E44038" w:rsidRDefault="00E44038" w:rsidP="003F0803">
      <w:pPr>
        <w:rPr>
          <w:rFonts w:eastAsiaTheme="minorEastAsia"/>
        </w:rPr>
      </w:pPr>
      <w:r>
        <w:rPr>
          <w:rFonts w:eastAsiaTheme="minorEastAsia"/>
        </w:rPr>
        <w:t>Verder kan op basis van fysische overwegingen gesteld worden dat:</w:t>
      </w:r>
    </w:p>
    <w:p w:rsidR="00E44038" w:rsidRDefault="00E44038" w:rsidP="003F0803">
      <w:pPr>
        <w:rPr>
          <w:rFonts w:eastAsiaTheme="minorEastAsia"/>
        </w:rPr>
      </w:pPr>
    </w:p>
    <w:p w:rsidR="00E44038" w:rsidRPr="00E44038" w:rsidRDefault="00E44038" w:rsidP="003F0803">
      <w:pPr>
        <w:rPr>
          <w:rFonts w:eastAsiaTheme="minorEastAsia"/>
        </w:rPr>
      </w:pPr>
      <m:oMathPara>
        <m:oMathParaPr>
          <m:jc m:val="left"/>
        </m:oMathParaPr>
        <m:oMath>
          <m:r>
            <w:rPr>
              <w:rFonts w:ascii="Cambria Math" w:eastAsiaTheme="minorEastAsia" w:hAnsi="Cambria Math"/>
            </w:rPr>
            <m:t>U=0  voor h≤</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d</m:t>
              </m:r>
            </m:sub>
          </m:sSub>
          <m:r>
            <w:rPr>
              <w:rFonts w:ascii="Cambria Math" w:eastAsiaTheme="minorEastAsia" w:hAnsi="Cambria Math"/>
            </w:rPr>
            <m:t xml:space="preserve">                                                                                                                                                                                (5)</m:t>
          </m:r>
        </m:oMath>
      </m:oMathPara>
    </w:p>
    <w:p w:rsidR="00E44038" w:rsidRDefault="00E44038" w:rsidP="003F0803">
      <w:pPr>
        <w:rPr>
          <w:rFonts w:eastAsiaTheme="minorEastAsia"/>
        </w:rPr>
      </w:pPr>
    </w:p>
    <w:p w:rsidR="00E44038" w:rsidRDefault="00E44038" w:rsidP="003F0803">
      <w:pPr>
        <w:rPr>
          <w:rFonts w:eastAsiaTheme="minorEastAsia"/>
        </w:rPr>
      </w:pPr>
      <w:r>
        <w:rPr>
          <w:rFonts w:eastAsiaTheme="minorEastAsia"/>
        </w:rPr>
        <w:t xml:space="preserve">waarbij </w:t>
      </w:r>
    </w:p>
    <w:p w:rsidR="00E44038" w:rsidRDefault="00BF0CF0" w:rsidP="003F0803">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d</m:t>
            </m:r>
          </m:sub>
        </m:sSub>
      </m:oMath>
      <w:r w:rsidR="00E44038">
        <w:rPr>
          <w:rFonts w:eastAsiaTheme="minorEastAsia"/>
        </w:rPr>
        <w:t xml:space="preserve"> = regionale drainagebasis ten opzichte van het referentieniveau  [m]</w:t>
      </w:r>
    </w:p>
    <w:p w:rsidR="007D6275" w:rsidRDefault="007D6275" w:rsidP="003F0803">
      <w:pPr>
        <w:rPr>
          <w:rFonts w:eastAsiaTheme="minorEastAsia"/>
        </w:rPr>
      </w:pPr>
    </w:p>
    <w:p w:rsidR="007D6275" w:rsidRDefault="007D6275" w:rsidP="003F0803">
      <w:pPr>
        <w:rPr>
          <w:rFonts w:eastAsiaTheme="minorEastAsia"/>
        </w:rPr>
      </w:pPr>
      <w:r>
        <w:rPr>
          <w:rFonts w:eastAsiaTheme="minorEastAsia"/>
        </w:rPr>
        <w:t>Zoals is betoogd in Van den Akker (2013) kan voor de overdrachtsfactor als hypothese worden gesteld dat dat deze voldoet aan</w:t>
      </w:r>
    </w:p>
    <w:p w:rsidR="007D6275" w:rsidRDefault="007D6275" w:rsidP="003F0803">
      <w:pPr>
        <w:rPr>
          <w:rFonts w:eastAsiaTheme="minorEastAsia"/>
        </w:rPr>
      </w:pPr>
    </w:p>
    <w:p w:rsidR="007D6275" w:rsidRPr="007D6275" w:rsidRDefault="007D6275" w:rsidP="007D6275">
      <w:pPr>
        <w:rPr>
          <w:rFonts w:eastAsiaTheme="minorEastAsia"/>
        </w:rPr>
      </w:pPr>
      <m:oMathPara>
        <m:oMathParaPr>
          <m:jc m:val="left"/>
        </m:oMathParaPr>
        <m:oMath>
          <m:r>
            <w:rPr>
              <w:rFonts w:ascii="Cambria Math" w:eastAsiaTheme="minorEastAsia" w:hAnsi="Cambria Math"/>
            </w:rPr>
            <m:t>F=</m:t>
          </m:r>
          <m:f>
            <m:fPr>
              <m:ctrlPr>
                <w:rPr>
                  <w:rFonts w:ascii="Cambria Math" w:eastAsiaTheme="minorEastAsia" w:hAnsi="Cambria Math"/>
                  <w:i/>
                  <w:kern w:val="3"/>
                  <w:sz w:val="24"/>
                  <w:lang w:eastAsia="en-US"/>
                </w:rPr>
              </m:ctrlPr>
            </m:fPr>
            <m:num>
              <m:r>
                <w:rPr>
                  <w:rFonts w:ascii="Cambria Math" w:eastAsiaTheme="minorEastAsia" w:hAnsi="Cambria Math"/>
                </w:rPr>
                <m:t>1</m:t>
              </m:r>
            </m:num>
            <m:den>
              <m:d>
                <m:dPr>
                  <m:ctrlPr>
                    <w:rPr>
                      <w:rFonts w:ascii="Cambria Math" w:eastAsiaTheme="minorEastAsia" w:hAnsi="Cambria Math"/>
                      <w:i/>
                      <w:kern w:val="3"/>
                      <w:sz w:val="24"/>
                      <w:lang w:eastAsia="en-US"/>
                    </w:rPr>
                  </m:ctrlPr>
                </m:dPr>
                <m:e>
                  <m:r>
                    <w:rPr>
                      <w:rFonts w:ascii="Cambria Math" w:eastAsiaTheme="minorEastAsia" w:hAnsi="Cambria Math"/>
                    </w:rPr>
                    <m:t>1+</m:t>
                  </m:r>
                  <m:f>
                    <m:fPr>
                      <m:ctrlPr>
                        <w:rPr>
                          <w:rFonts w:ascii="Cambria Math" w:eastAsiaTheme="minorEastAsia" w:hAnsi="Cambria Math"/>
                          <w:i/>
                          <w:kern w:val="3"/>
                          <w:sz w:val="24"/>
                          <w:lang w:eastAsia="en-US"/>
                        </w:rPr>
                      </m:ctrlPr>
                    </m:fPr>
                    <m:num>
                      <m:r>
                        <w:rPr>
                          <w:rFonts w:ascii="Cambria Math" w:eastAsiaTheme="minorEastAsia" w:hAnsi="Cambria Math"/>
                        </w:rPr>
                        <m:t>a</m:t>
                      </m:r>
                    </m:num>
                    <m:den>
                      <m:r>
                        <w:rPr>
                          <w:rFonts w:ascii="Cambria Math" w:eastAsiaTheme="minorEastAsia" w:hAnsi="Cambria Math"/>
                        </w:rPr>
                        <m:t>h-</m:t>
                      </m:r>
                      <m:sSub>
                        <m:sSubPr>
                          <m:ctrlPr>
                            <w:rPr>
                              <w:rFonts w:ascii="Cambria Math" w:eastAsiaTheme="minorEastAsia" w:hAnsi="Cambria Math"/>
                              <w:i/>
                              <w:kern w:val="3"/>
                              <w:sz w:val="24"/>
                              <w:lang w:eastAsia="en-US"/>
                            </w:rPr>
                          </m:ctrlPr>
                        </m:sSubPr>
                        <m:e>
                          <m:r>
                            <w:rPr>
                              <w:rFonts w:ascii="Cambria Math" w:eastAsiaTheme="minorEastAsia" w:hAnsi="Cambria Math"/>
                            </w:rPr>
                            <m:t>m</m:t>
                          </m:r>
                        </m:e>
                        <m:sub>
                          <m:r>
                            <w:rPr>
                              <w:rFonts w:ascii="Cambria Math" w:eastAsiaTheme="minorEastAsia" w:hAnsi="Cambria Math"/>
                            </w:rPr>
                            <m:t>v</m:t>
                          </m:r>
                        </m:sub>
                      </m:sSub>
                      <m:r>
                        <w:rPr>
                          <w:rFonts w:ascii="Cambria Math" w:eastAsiaTheme="minorEastAsia" w:hAnsi="Cambria Math"/>
                        </w:rPr>
                        <m:t>-b</m:t>
                      </m:r>
                    </m:den>
                  </m:f>
                </m:e>
              </m:d>
            </m:den>
          </m:f>
          <m:r>
            <w:rPr>
              <w:rFonts w:ascii="Cambria Math" w:eastAsiaTheme="minorEastAsia" w:hAnsi="Cambria Math"/>
            </w:rPr>
            <m:t xml:space="preserve">                                                                                                                                                                         (6)</m:t>
          </m:r>
        </m:oMath>
      </m:oMathPara>
    </w:p>
    <w:p w:rsidR="007D6275" w:rsidRPr="001B5BB8" w:rsidRDefault="007D6275" w:rsidP="003F0803">
      <w:pPr>
        <w:rPr>
          <w:rFonts w:eastAsiaTheme="minorEastAsia"/>
        </w:rPr>
      </w:pPr>
    </w:p>
    <w:p w:rsidR="006134E3" w:rsidRDefault="006134E3" w:rsidP="006134E3">
      <w:pPr>
        <w:rPr>
          <w:rFonts w:eastAsiaTheme="minorEastAsia"/>
        </w:rPr>
      </w:pPr>
      <w:r>
        <w:rPr>
          <w:rFonts w:eastAsiaTheme="minorEastAsia"/>
        </w:rPr>
        <w:t>waarin:</w:t>
      </w:r>
    </w:p>
    <w:p w:rsidR="006134E3" w:rsidRDefault="006134E3" w:rsidP="006134E3">
      <w:pPr>
        <w:rPr>
          <w:rFonts w:eastAsiaTheme="minorEastAsia"/>
        </w:rPr>
      </w:pPr>
      <m:oMath>
        <m:r>
          <w:rPr>
            <w:rFonts w:ascii="Cambria Math" w:eastAsiaTheme="minorEastAsia" w:hAnsi="Cambria Math"/>
          </w:rPr>
          <m:t>a=</m:t>
        </m:r>
      </m:oMath>
      <w:r>
        <w:rPr>
          <w:rFonts w:eastAsiaTheme="minorEastAsia"/>
        </w:rPr>
        <w:t xml:space="preserve"> constante  </w:t>
      </w:r>
      <m:oMath>
        <m:r>
          <w:rPr>
            <w:rFonts w:ascii="Cambria Math" w:eastAsiaTheme="minorEastAsia" w:hAnsi="Cambria Math"/>
          </w:rPr>
          <m:t>&lt;0</m:t>
        </m:r>
      </m:oMath>
      <w:r>
        <w:rPr>
          <w:rFonts w:eastAsiaTheme="minorEastAsia"/>
        </w:rPr>
        <w:t xml:space="preserve">    [m]</w:t>
      </w:r>
    </w:p>
    <w:p w:rsidR="006134E3" w:rsidRDefault="006134E3" w:rsidP="006134E3">
      <w:pPr>
        <w:rPr>
          <w:rFonts w:eastAsiaTheme="minorEastAsia"/>
        </w:rPr>
      </w:pPr>
      <m:oMath>
        <m:r>
          <w:rPr>
            <w:rFonts w:ascii="Cambria Math" w:eastAsiaTheme="minorEastAsia" w:hAnsi="Cambria Math"/>
          </w:rPr>
          <m:t>b=</m:t>
        </m:r>
      </m:oMath>
      <w:r>
        <w:rPr>
          <w:rFonts w:eastAsiaTheme="minorEastAsia"/>
        </w:rPr>
        <w:t xml:space="preserve"> constante  </w:t>
      </w:r>
      <m:oMath>
        <m:r>
          <w:rPr>
            <w:rFonts w:ascii="Cambria Math" w:eastAsiaTheme="minorEastAsia" w:hAnsi="Cambria Math"/>
          </w:rPr>
          <m:t>≤0</m:t>
        </m:r>
      </m:oMath>
      <w:r>
        <w:rPr>
          <w:rFonts w:eastAsiaTheme="minorEastAsia"/>
        </w:rPr>
        <w:t xml:space="preserve">    [m]</w:t>
      </w:r>
    </w:p>
    <w:p w:rsidR="006134E3" w:rsidRDefault="00BF0CF0" w:rsidP="006134E3">
      <w:pPr>
        <w:rPr>
          <w:rFonts w:eastAsiaTheme="minorEastAsia"/>
        </w:rPr>
      </w:pPr>
      <m:oMath>
        <m:sSub>
          <m:sSubPr>
            <m:ctrlPr>
              <w:rPr>
                <w:rFonts w:ascii="Cambria Math" w:eastAsiaTheme="minorEastAsia" w:hAnsi="Cambria Math"/>
                <w:i/>
                <w:kern w:val="3"/>
                <w:sz w:val="24"/>
                <w:lang w:eastAsia="en-US"/>
              </w:rPr>
            </m:ctrlPr>
          </m:sSubPr>
          <m:e>
            <m:r>
              <w:rPr>
                <w:rFonts w:ascii="Cambria Math" w:eastAsiaTheme="minorEastAsia" w:hAnsi="Cambria Math"/>
              </w:rPr>
              <m:t>m</m:t>
            </m:r>
          </m:e>
          <m:sub>
            <m:r>
              <w:rPr>
                <w:rFonts w:ascii="Cambria Math" w:eastAsiaTheme="minorEastAsia" w:hAnsi="Cambria Math"/>
              </w:rPr>
              <m:t>v</m:t>
            </m:r>
          </m:sub>
        </m:sSub>
        <m:r>
          <w:rPr>
            <w:rFonts w:ascii="Cambria Math" w:eastAsiaTheme="minorEastAsia" w:hAnsi="Cambria Math"/>
          </w:rPr>
          <m:t>=</m:t>
        </m:r>
      </m:oMath>
      <w:r w:rsidR="006134E3">
        <w:rPr>
          <w:rFonts w:eastAsiaTheme="minorEastAsia"/>
        </w:rPr>
        <w:t xml:space="preserve"> maaiveldhoogte ten opzichte van referentie niveau  [m]</w:t>
      </w:r>
    </w:p>
    <w:p w:rsidR="001B5BB8" w:rsidRDefault="001B5BB8" w:rsidP="003F0803">
      <w:pPr>
        <w:rPr>
          <w:rFonts w:eastAsiaTheme="minorEastAsia"/>
        </w:rPr>
      </w:pPr>
    </w:p>
    <w:p w:rsidR="006134E3" w:rsidRDefault="006134E3" w:rsidP="003F0803">
      <w:pPr>
        <w:rPr>
          <w:rFonts w:eastAsiaTheme="minorEastAsia"/>
        </w:rPr>
      </w:pPr>
      <w:r>
        <w:rPr>
          <w:rFonts w:eastAsiaTheme="minorEastAsia"/>
        </w:rPr>
        <w:t>In Van den Akker (2014</w:t>
      </w:r>
      <w:r w:rsidR="00790A19">
        <w:rPr>
          <w:rFonts w:eastAsiaTheme="minorEastAsia"/>
        </w:rPr>
        <w:t xml:space="preserve"> a</w:t>
      </w:r>
      <w:r>
        <w:rPr>
          <w:rFonts w:eastAsiaTheme="minorEastAsia"/>
        </w:rPr>
        <w:t>) is afgeleid dat daarmee geldt dat:</w:t>
      </w:r>
    </w:p>
    <w:p w:rsidR="006134E3" w:rsidRPr="006134E3" w:rsidRDefault="006134E3" w:rsidP="006134E3">
      <w:pPr>
        <w:rPr>
          <w:rFonts w:eastAsiaTheme="minorEastAsia"/>
        </w:rPr>
      </w:pPr>
      <m:oMathPara>
        <m:oMathParaPr>
          <m:jc m:val="left"/>
        </m:oMathParaPr>
        <m:oMath>
          <m:r>
            <w:rPr>
              <w:rFonts w:ascii="Cambria Math" w:eastAsiaTheme="minorEastAsia" w:hAnsi="Cambria Math"/>
            </w:rPr>
            <m:t xml:space="preserve">                                                                                                                                                                </m:t>
          </m:r>
        </m:oMath>
      </m:oMathPara>
    </w:p>
    <w:p w:rsidR="006134E3" w:rsidRDefault="00BF0CF0" w:rsidP="006134E3">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dU</m:t>
              </m:r>
            </m:num>
            <m:den>
              <m:r>
                <w:rPr>
                  <w:rFonts w:ascii="Cambria Math" w:eastAsiaTheme="minorEastAsia" w:hAnsi="Cambria Math"/>
                </w:rPr>
                <m:t>dh</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c</m:t>
              </m:r>
            </m:den>
          </m:f>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h-</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v</m:t>
                      </m:r>
                    </m:sub>
                  </m:sSub>
                  <m:r>
                    <w:rPr>
                      <w:rFonts w:ascii="Cambria Math" w:eastAsiaTheme="minorEastAsia" w:hAnsi="Cambria Math"/>
                    </w:rPr>
                    <m:t>-b</m:t>
                  </m:r>
                </m:den>
              </m:f>
            </m:e>
          </m:d>
          <m:r>
            <w:rPr>
              <w:rFonts w:ascii="Cambria Math" w:eastAsiaTheme="minorEastAsia" w:hAnsi="Cambria Math"/>
            </w:rPr>
            <m:t xml:space="preserve">                                                                                                                                                                          (7) </m:t>
          </m:r>
        </m:oMath>
      </m:oMathPara>
    </w:p>
    <w:p w:rsidR="00634215" w:rsidRDefault="00634215" w:rsidP="006134E3">
      <w:pPr>
        <w:rPr>
          <w:rFonts w:eastAsiaTheme="minorEastAsia"/>
        </w:rPr>
      </w:pPr>
    </w:p>
    <w:p w:rsidR="00B95A5E" w:rsidRDefault="00B95A5E" w:rsidP="006134E3">
      <w:pPr>
        <w:rPr>
          <w:rFonts w:eastAsiaTheme="minorEastAsia"/>
        </w:rPr>
      </w:pPr>
      <w:r>
        <w:rPr>
          <w:rFonts w:eastAsiaTheme="minorEastAsia"/>
        </w:rPr>
        <w:t>Tevens is afgeleid op basis van de hyperbolische overdrachtsfactor dat:</w:t>
      </w:r>
    </w:p>
    <w:p w:rsidR="00B95A5E" w:rsidRDefault="00B95A5E" w:rsidP="006134E3">
      <w:pPr>
        <w:rPr>
          <w:rFonts w:eastAsiaTheme="minorEastAsia"/>
        </w:rPr>
      </w:pPr>
    </w:p>
    <w:p w:rsidR="00B95A5E" w:rsidRPr="00B95A5E" w:rsidRDefault="00B95A5E" w:rsidP="00B95A5E">
      <w:pPr>
        <w:rPr>
          <w:rFonts w:eastAsiaTheme="minorEastAsia"/>
        </w:rPr>
      </w:pPr>
      <m:oMathPara>
        <m:oMathParaPr>
          <m:jc m:val="left"/>
        </m:oMathParaPr>
        <m:oMath>
          <m:r>
            <w:rPr>
              <w:rFonts w:ascii="Cambria Math" w:eastAsiaTheme="minorEastAsia" w:hAnsi="Cambria Math"/>
            </w:rPr>
            <m:t>U=</m:t>
          </m:r>
          <m:f>
            <m:fPr>
              <m:ctrlPr>
                <w:rPr>
                  <w:rFonts w:ascii="Cambria Math" w:eastAsiaTheme="minorEastAsia" w:hAnsi="Cambria Math"/>
                  <w:i/>
                  <w:kern w:val="3"/>
                  <w:sz w:val="24"/>
                  <w:lang w:eastAsia="en-US"/>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j+</m:t>
          </m:r>
          <m:f>
            <m:fPr>
              <m:ctrlPr>
                <w:rPr>
                  <w:rFonts w:ascii="Cambria Math" w:eastAsiaTheme="minorEastAsia" w:hAnsi="Cambria Math"/>
                  <w:i/>
                  <w:kern w:val="3"/>
                  <w:sz w:val="24"/>
                  <w:lang w:eastAsia="en-US"/>
                </w:rPr>
              </m:ctrlPr>
            </m:fPr>
            <m:num>
              <m:r>
                <w:rPr>
                  <w:rFonts w:ascii="Cambria Math" w:eastAsiaTheme="minorEastAsia" w:hAnsi="Cambria Math"/>
                </w:rPr>
                <m:t>a</m:t>
              </m:r>
            </m:num>
            <m:den>
              <m:r>
                <w:rPr>
                  <w:rFonts w:ascii="Cambria Math" w:eastAsiaTheme="minorEastAsia" w:hAnsi="Cambria Math"/>
                </w:rPr>
                <m:t>c</m:t>
              </m:r>
            </m:den>
          </m:f>
          <m:d>
            <m:dPr>
              <m:begChr m:val="{"/>
              <m:endChr m:val="}"/>
              <m:ctrlPr>
                <w:rPr>
                  <w:rFonts w:ascii="Cambria Math" w:eastAsiaTheme="minorEastAsia" w:hAnsi="Cambria Math"/>
                  <w:i/>
                  <w:kern w:val="3"/>
                  <w:sz w:val="24"/>
                  <w:lang w:eastAsia="en-US"/>
                </w:rPr>
              </m:ctrlPr>
            </m:dPr>
            <m:e>
              <m:r>
                <w:rPr>
                  <w:rFonts w:ascii="Cambria Math" w:eastAsiaTheme="minorEastAsia" w:hAnsi="Cambria Math"/>
                </w:rPr>
                <m:t>ln</m:t>
              </m:r>
              <m:d>
                <m:dPr>
                  <m:ctrlPr>
                    <w:rPr>
                      <w:rFonts w:ascii="Cambria Math" w:eastAsiaTheme="minorEastAsia" w:hAnsi="Cambria Math"/>
                      <w:i/>
                      <w:kern w:val="3"/>
                      <w:sz w:val="24"/>
                      <w:lang w:eastAsia="en-US"/>
                    </w:rPr>
                  </m:ctrlPr>
                </m:dPr>
                <m:e>
                  <m:f>
                    <m:fPr>
                      <m:ctrlPr>
                        <w:rPr>
                          <w:rFonts w:ascii="Cambria Math" w:eastAsiaTheme="minorEastAsia" w:hAnsi="Cambria Math"/>
                          <w:i/>
                          <w:kern w:val="3"/>
                          <w:sz w:val="24"/>
                          <w:lang w:eastAsia="en-US"/>
                        </w:rPr>
                      </m:ctrlPr>
                    </m:fPr>
                    <m:num>
                      <m:r>
                        <w:rPr>
                          <w:rFonts w:ascii="Cambria Math" w:eastAsiaTheme="minorEastAsia" w:hAnsi="Cambria Math"/>
                        </w:rPr>
                        <m:t>-h+</m:t>
                      </m:r>
                      <m:sSub>
                        <m:sSubPr>
                          <m:ctrlPr>
                            <w:rPr>
                              <w:rFonts w:ascii="Cambria Math" w:eastAsiaTheme="minorEastAsia" w:hAnsi="Cambria Math"/>
                              <w:i/>
                              <w:kern w:val="3"/>
                              <w:sz w:val="24"/>
                              <w:lang w:eastAsia="en-US"/>
                            </w:rPr>
                          </m:ctrlPr>
                        </m:sSubPr>
                        <m:e>
                          <m:r>
                            <w:rPr>
                              <w:rFonts w:ascii="Cambria Math" w:eastAsiaTheme="minorEastAsia" w:hAnsi="Cambria Math"/>
                            </w:rPr>
                            <m:t>m</m:t>
                          </m:r>
                        </m:e>
                        <m:sub>
                          <m:r>
                            <w:rPr>
                              <w:rFonts w:ascii="Cambria Math" w:eastAsiaTheme="minorEastAsia" w:hAnsi="Cambria Math"/>
                            </w:rPr>
                            <m:t>v</m:t>
                          </m:r>
                        </m:sub>
                      </m:sSub>
                      <m:r>
                        <w:rPr>
                          <w:rFonts w:ascii="Cambria Math" w:eastAsiaTheme="minorEastAsia" w:hAnsi="Cambria Math"/>
                        </w:rPr>
                        <m:t>+b</m:t>
                      </m:r>
                    </m:num>
                    <m:den>
                      <m:r>
                        <w:rPr>
                          <w:rFonts w:ascii="Cambria Math" w:eastAsiaTheme="minorEastAsia" w:hAnsi="Cambria Math"/>
                        </w:rPr>
                        <m:t>-a</m:t>
                      </m:r>
                    </m:den>
                  </m:f>
                </m:e>
              </m:d>
            </m:e>
          </m:d>
          <m:r>
            <w:rPr>
              <w:rFonts w:ascii="Cambria Math" w:eastAsiaTheme="minorEastAsia" w:hAnsi="Cambria Math"/>
            </w:rPr>
            <m:t xml:space="preserve">                                                                                                                                                      (8)</m:t>
          </m:r>
        </m:oMath>
      </m:oMathPara>
    </w:p>
    <w:p w:rsidR="00B95A5E" w:rsidRPr="006134E3" w:rsidRDefault="00B95A5E" w:rsidP="006134E3">
      <w:pPr>
        <w:rPr>
          <w:rFonts w:eastAsiaTheme="minorEastAsia"/>
        </w:rPr>
      </w:pPr>
    </w:p>
    <w:p w:rsidR="00DC2148" w:rsidRDefault="00DC2148" w:rsidP="00DC2148">
      <w:pPr>
        <w:rPr>
          <w:rFonts w:eastAsiaTheme="minorEastAsia"/>
        </w:rPr>
      </w:pPr>
      <w:r>
        <w:rPr>
          <w:rFonts w:eastAsiaTheme="minorEastAsia"/>
        </w:rPr>
        <w:t xml:space="preserve">waarbij  </w:t>
      </w:r>
      <w:r>
        <w:rPr>
          <w:rFonts w:eastAsiaTheme="minorEastAsia"/>
          <w:i/>
        </w:rPr>
        <w:t>j</w:t>
      </w:r>
      <w:r>
        <w:rPr>
          <w:rFonts w:eastAsiaTheme="minorEastAsia"/>
        </w:rPr>
        <w:t xml:space="preserve"> de waarde van </w:t>
      </w:r>
      <w:r>
        <w:rPr>
          <w:rFonts w:eastAsiaTheme="minorEastAsia"/>
          <w:i/>
        </w:rPr>
        <w:t>U</w:t>
      </w:r>
      <w:r>
        <w:rPr>
          <w:rFonts w:eastAsiaTheme="minorEastAsia"/>
        </w:rPr>
        <w:t xml:space="preserve">  is op    </w:t>
      </w:r>
      <m:oMath>
        <m:r>
          <w:rPr>
            <w:rFonts w:ascii="Cambria Math" w:eastAsiaTheme="minorEastAsia" w:hAnsi="Cambria Math"/>
          </w:rPr>
          <m:t>h-</m:t>
        </m:r>
        <m:sSub>
          <m:sSubPr>
            <m:ctrlPr>
              <w:rPr>
                <w:rFonts w:ascii="Cambria Math" w:eastAsiaTheme="minorEastAsia" w:hAnsi="Cambria Math"/>
                <w:i/>
                <w:kern w:val="3"/>
                <w:sz w:val="24"/>
                <w:lang w:eastAsia="en-US"/>
              </w:rPr>
            </m:ctrlPr>
          </m:sSubPr>
          <m:e>
            <m:r>
              <w:rPr>
                <w:rFonts w:ascii="Cambria Math" w:eastAsiaTheme="minorEastAsia" w:hAnsi="Cambria Math"/>
              </w:rPr>
              <m:t>m</m:t>
            </m:r>
          </m:e>
          <m:sub>
            <m:r>
              <w:rPr>
                <w:rFonts w:ascii="Cambria Math" w:eastAsiaTheme="minorEastAsia" w:hAnsi="Cambria Math"/>
              </w:rPr>
              <m:t>v</m:t>
            </m:r>
          </m:sub>
        </m:sSub>
        <m:r>
          <w:rPr>
            <w:rFonts w:ascii="Cambria Math" w:eastAsiaTheme="minorEastAsia" w:hAnsi="Cambria Math"/>
          </w:rPr>
          <m:t>=b</m:t>
        </m:r>
      </m:oMath>
      <w:r>
        <w:rPr>
          <w:rFonts w:eastAsiaTheme="minorEastAsia"/>
        </w:rPr>
        <w:t>.</w:t>
      </w:r>
    </w:p>
    <w:p w:rsidR="00CE415B" w:rsidRDefault="00CE415B" w:rsidP="00DC2148">
      <w:pPr>
        <w:rPr>
          <w:rFonts w:eastAsiaTheme="minorEastAsia"/>
        </w:rPr>
      </w:pPr>
    </w:p>
    <w:p w:rsidR="00CE415B" w:rsidRDefault="00CE415B" w:rsidP="00CE415B">
      <w:pPr>
        <w:pStyle w:val="Kop2"/>
      </w:pPr>
      <w:r>
        <w:t>De diepte van de regionale drainagebasis</w:t>
      </w:r>
    </w:p>
    <w:p w:rsidR="006134E3" w:rsidRDefault="006134E3" w:rsidP="003F0803">
      <w:pPr>
        <w:rPr>
          <w:rFonts w:eastAsiaTheme="minorEastAsia"/>
        </w:rPr>
      </w:pPr>
    </w:p>
    <w:p w:rsidR="006C00D3" w:rsidRDefault="00DC2148" w:rsidP="003F0803">
      <w:pPr>
        <w:rPr>
          <w:rFonts w:eastAsiaTheme="minorEastAsia"/>
        </w:rPr>
      </w:pPr>
      <w:r>
        <w:rPr>
          <w:rFonts w:eastAsiaTheme="minorEastAsia"/>
        </w:rPr>
        <w:t xml:space="preserve">Voor de diepte van de regionale drainagebasis geldt dat </w:t>
      </w:r>
      <w:r>
        <w:rPr>
          <w:rFonts w:eastAsiaTheme="minorEastAsia"/>
          <w:i/>
        </w:rPr>
        <w:t>U=</w:t>
      </w:r>
      <w:r>
        <w:rPr>
          <w:rFonts w:eastAsiaTheme="minorEastAsia"/>
        </w:rPr>
        <w:t xml:space="preserve">0  als </w:t>
      </w:r>
      <m:oMath>
        <m:r>
          <w:rPr>
            <w:rFonts w:ascii="Cambria Math" w:eastAsiaTheme="minorEastAsia" w:hAnsi="Cambria Math"/>
          </w:rPr>
          <m:t>h=</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d</m:t>
            </m:r>
          </m:sub>
        </m:sSub>
      </m:oMath>
    </w:p>
    <w:p w:rsidR="00DC2148" w:rsidRDefault="006C00D3" w:rsidP="003F0803">
      <w:pPr>
        <w:rPr>
          <w:rFonts w:eastAsiaTheme="minorEastAsia"/>
        </w:rPr>
      </w:pPr>
      <w:r>
        <w:rPr>
          <w:rFonts w:eastAsiaTheme="minorEastAsia"/>
        </w:rPr>
        <w:t>Substitutie va</w:t>
      </w:r>
      <w:r w:rsidR="00607BD9">
        <w:rPr>
          <w:rFonts w:eastAsiaTheme="minorEastAsia"/>
        </w:rPr>
        <w:t>n deze waarden in vergelijking 8</w:t>
      </w:r>
      <w:r w:rsidR="00DC2148">
        <w:rPr>
          <w:rFonts w:eastAsiaTheme="minorEastAsia"/>
        </w:rPr>
        <w:t xml:space="preserve"> resulteert in:</w:t>
      </w:r>
    </w:p>
    <w:p w:rsidR="00DC2148" w:rsidRDefault="00DC2148" w:rsidP="003F0803">
      <w:pPr>
        <w:rPr>
          <w:rFonts w:eastAsiaTheme="minorEastAsia"/>
        </w:rPr>
      </w:pPr>
    </w:p>
    <w:p w:rsidR="00CE415B" w:rsidRDefault="00BF0CF0" w:rsidP="00CE415B">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d</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v</m:t>
              </m:r>
            </m:sub>
          </m:sSub>
          <m:r>
            <w:rPr>
              <w:rFonts w:ascii="Cambria Math" w:eastAsiaTheme="minorEastAsia" w:hAnsi="Cambria Math"/>
            </w:rPr>
            <m:t>=a exp</m:t>
          </m:r>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2a</m:t>
                  </m:r>
                </m:den>
              </m:f>
              <m:r>
                <w:rPr>
                  <w:rFonts w:ascii="Cambria Math" w:eastAsiaTheme="minorEastAsia" w:hAnsi="Cambria Math"/>
                </w:rPr>
                <m:t>j</m:t>
              </m:r>
            </m:e>
          </m:d>
          <m:r>
            <w:rPr>
              <w:rFonts w:ascii="Cambria Math" w:eastAsiaTheme="minorEastAsia" w:hAnsi="Cambria Math"/>
            </w:rPr>
            <m:t>+b                                                                                                                                                         (9)</m:t>
          </m:r>
        </m:oMath>
      </m:oMathPara>
    </w:p>
    <w:p w:rsidR="00CE415B" w:rsidRDefault="0072515B" w:rsidP="00CE415B">
      <w:pPr>
        <w:pStyle w:val="Kop2"/>
      </w:pPr>
      <w:r>
        <w:t>De maximale waarde van de drainageweerstand</w:t>
      </w:r>
    </w:p>
    <w:p w:rsidR="0072515B" w:rsidRDefault="0072515B" w:rsidP="0072515B"/>
    <w:p w:rsidR="00DB5132" w:rsidRDefault="0072515B" w:rsidP="0072515B">
      <w:r>
        <w:t>Het verloop van de logaritmische U/h relatie heeft alleen fysische betekenis voor gebiedsgemiddelde grondwaterstanden die hoger zijn dan de regionale drainagebasis. Ter hoogte van de drainagebasis komt er een abrupt einde aan de aanwezigheid van drainagemiddelen</w:t>
      </w:r>
      <w:r w:rsidR="00CC42DD">
        <w:t>, bij lagere grondwaterstanden</w:t>
      </w:r>
      <w:r>
        <w:t xml:space="preserve"> is</w:t>
      </w:r>
      <w:r w:rsidR="00CC42DD">
        <w:t xml:space="preserve"> er</w:t>
      </w:r>
      <w:r>
        <w:t xml:space="preserve"> geen afvoer meer</w:t>
      </w:r>
      <w:r w:rsidR="00DB5132">
        <w:t xml:space="preserve"> en</w:t>
      </w:r>
      <w:r>
        <w:t xml:space="preserve"> er</w:t>
      </w:r>
      <w:r w:rsidR="00DB5132">
        <w:t xml:space="preserve"> is</w:t>
      </w:r>
      <w:r>
        <w:t xml:space="preserve"> dus ook geen sprake meer v</w:t>
      </w:r>
      <w:r w:rsidR="00DB5132">
        <w:t xml:space="preserve">an een drainageweerstand in de fysische betekenis. </w:t>
      </w:r>
      <w:r w:rsidR="00D743BB">
        <w:t xml:space="preserve">De eerste afgeleide van </w:t>
      </w:r>
      <w:r w:rsidR="00D743BB">
        <w:rPr>
          <w:i/>
        </w:rPr>
        <w:t>U</w:t>
      </w:r>
      <w:r w:rsidR="00D743BB">
        <w:t xml:space="preserve"> naar </w:t>
      </w:r>
      <w:r w:rsidR="00D743BB">
        <w:rPr>
          <w:i/>
        </w:rPr>
        <w:t>h</w:t>
      </w:r>
      <w:r w:rsidR="00DB5132">
        <w:t xml:space="preserve"> heeft daarmee op de regionale drainagebasis de hoogste waarde. Wiskundig gezien vertoont deze afgeleide op de drainagebasis een knik en gaat</w:t>
      </w:r>
      <w:r w:rsidR="00D743BB">
        <w:t xml:space="preserve"> daaronder</w:t>
      </w:r>
      <w:r w:rsidR="00DB5132">
        <w:t xml:space="preserve"> over op een verticale lijn waarmee deze afgeleide dus oneindig wordt.</w:t>
      </w:r>
    </w:p>
    <w:p w:rsidR="005C6142" w:rsidRDefault="005C6142" w:rsidP="0072515B">
      <w:r>
        <w:t>In</w:t>
      </w:r>
      <w:r w:rsidR="00D743BB">
        <w:t xml:space="preserve"> berekeningen en modelstudies wordt</w:t>
      </w:r>
      <w:r>
        <w:t xml:space="preserve"> de drainageweerstand</w:t>
      </w:r>
      <w:r w:rsidR="00D743BB">
        <w:t xml:space="preserve"> gedefinieerd als:</w:t>
      </w:r>
    </w:p>
    <w:p w:rsidR="00D743BB" w:rsidRDefault="00D743BB" w:rsidP="0072515B"/>
    <w:p w:rsidR="00D743BB" w:rsidRPr="00D743BB" w:rsidRDefault="00BF0CF0" w:rsidP="0072515B">
      <m:oMathPara>
        <m:oMathParaPr>
          <m:jc m:val="left"/>
        </m:oMathParaPr>
        <m:oMath>
          <m:f>
            <m:fPr>
              <m:ctrlPr>
                <w:rPr>
                  <w:rFonts w:ascii="Cambria Math" w:hAnsi="Cambria Math"/>
                  <w:i/>
                </w:rPr>
              </m:ctrlPr>
            </m:fPr>
            <m:num>
              <m:r>
                <w:rPr>
                  <w:rFonts w:ascii="Cambria Math" w:hAnsi="Cambria Math"/>
                </w:rPr>
                <m:t>1</m:t>
              </m:r>
            </m:num>
            <m:den>
              <m:r>
                <w:rPr>
                  <w:rFonts w:ascii="Cambria Math" w:hAnsi="Cambria Math"/>
                </w:rPr>
                <m:t>γ</m:t>
              </m:r>
            </m:den>
          </m:f>
          <m:r>
            <w:rPr>
              <w:rFonts w:ascii="Cambria Math" w:hAnsi="Cambria Math"/>
            </w:rPr>
            <m:t>=</m:t>
          </m:r>
          <m:f>
            <m:fPr>
              <m:ctrlPr>
                <w:rPr>
                  <w:rFonts w:ascii="Cambria Math" w:hAnsi="Cambria Math"/>
                  <w:i/>
                </w:rPr>
              </m:ctrlPr>
            </m:fPr>
            <m:num>
              <m:r>
                <w:rPr>
                  <w:rFonts w:ascii="Cambria Math" w:hAnsi="Cambria Math"/>
                </w:rPr>
                <m:t>dU</m:t>
              </m:r>
            </m:num>
            <m:den>
              <m:r>
                <w:rPr>
                  <w:rFonts w:ascii="Cambria Math" w:hAnsi="Cambria Math"/>
                </w:rPr>
                <m:t>dh</m:t>
              </m:r>
            </m:den>
          </m:f>
          <m:r>
            <w:rPr>
              <w:rFonts w:ascii="Cambria Math" w:hAnsi="Cambria Math"/>
            </w:rPr>
            <m:t xml:space="preserve">                                                                                                                                                                                                  (10)  </m:t>
          </m:r>
        </m:oMath>
      </m:oMathPara>
    </w:p>
    <w:p w:rsidR="00D743BB" w:rsidRDefault="00D743BB" w:rsidP="0072515B"/>
    <w:p w:rsidR="006A4601" w:rsidRPr="00147135" w:rsidRDefault="00D743BB" w:rsidP="0072515B">
      <w:pPr>
        <w:rPr>
          <w:rFonts w:ascii="Times New Roman" w:hAnsi="Times New Roman"/>
          <w:sz w:val="18"/>
          <w:szCs w:val="18"/>
        </w:rPr>
      </w:pPr>
      <w:r>
        <w:t xml:space="preserve">waarin </w:t>
      </w:r>
      <w:r>
        <w:rPr>
          <w:rFonts w:ascii="Times New Roman" w:hAnsi="Times New Roman"/>
        </w:rPr>
        <w:t>γ</w:t>
      </w:r>
      <w:r w:rsidR="006A4601">
        <w:rPr>
          <w:rFonts w:ascii="Times New Roman" w:hAnsi="Times New Roman"/>
        </w:rPr>
        <w:t xml:space="preserve"> </w:t>
      </w:r>
      <w:r w:rsidR="006A4601" w:rsidRPr="0060107E">
        <w:rPr>
          <w:rFonts w:ascii="Times New Roman" w:hAnsi="Times New Roman"/>
        </w:rPr>
        <w:t xml:space="preserve">= </w:t>
      </w:r>
      <w:r w:rsidR="006A4601" w:rsidRPr="00147135">
        <w:rPr>
          <w:rFonts w:ascii="Times New Roman" w:hAnsi="Times New Roman"/>
          <w:sz w:val="18"/>
          <w:szCs w:val="18"/>
        </w:rPr>
        <w:t>drainageweerstand [dagen]</w:t>
      </w:r>
    </w:p>
    <w:p w:rsidR="006A4601" w:rsidRDefault="006A4601" w:rsidP="0072515B">
      <w:pPr>
        <w:rPr>
          <w:rFonts w:ascii="Times New Roman" w:hAnsi="Times New Roman"/>
        </w:rPr>
      </w:pPr>
    </w:p>
    <w:p w:rsidR="006A4601" w:rsidRPr="0060107E" w:rsidRDefault="006A4601" w:rsidP="0072515B">
      <w:r w:rsidRPr="0060107E">
        <w:t>Uit vergelijking</w:t>
      </w:r>
      <w:r w:rsidR="00FC551F">
        <w:t>en 10</w:t>
      </w:r>
      <w:r w:rsidR="00050D75" w:rsidRPr="0060107E">
        <w:t xml:space="preserve"> en</w:t>
      </w:r>
      <w:r w:rsidR="00FC551F">
        <w:t xml:space="preserve"> 8</w:t>
      </w:r>
      <w:r w:rsidRPr="0060107E">
        <w:t xml:space="preserve"> volgt door differentiatie van </w:t>
      </w:r>
      <w:r w:rsidRPr="0060107E">
        <w:rPr>
          <w:i/>
        </w:rPr>
        <w:t xml:space="preserve">U </w:t>
      </w:r>
      <w:r w:rsidRPr="0060107E">
        <w:t xml:space="preserve">naar </w:t>
      </w:r>
      <w:r w:rsidRPr="0060107E">
        <w:rPr>
          <w:i/>
        </w:rPr>
        <w:t>h</w:t>
      </w:r>
      <w:r w:rsidRPr="0060107E">
        <w:t xml:space="preserve"> dat: </w:t>
      </w:r>
    </w:p>
    <w:p w:rsidR="006A4601" w:rsidRDefault="006A4601" w:rsidP="0072515B">
      <w:pPr>
        <w:rPr>
          <w:rFonts w:ascii="Times New Roman" w:hAnsi="Times New Roman"/>
        </w:rPr>
      </w:pPr>
    </w:p>
    <w:p w:rsidR="006A4601" w:rsidRPr="00050D75" w:rsidRDefault="00BF0CF0" w:rsidP="006A4601">
      <w:pPr>
        <w:rPr>
          <w:rFonts w:eastAsiaTheme="minorEastAsia"/>
        </w:rPr>
      </w:pPr>
      <m:oMathPara>
        <m:oMathParaPr>
          <m:jc m:val="left"/>
        </m:oMathPara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γ</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c</m:t>
              </m:r>
            </m:den>
          </m:f>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h-</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v</m:t>
                      </m:r>
                    </m:sub>
                  </m:sSub>
                  <m:r>
                    <w:rPr>
                      <w:rFonts w:ascii="Cambria Math" w:eastAsiaTheme="minorEastAsia" w:hAnsi="Cambria Math"/>
                    </w:rPr>
                    <m:t>-b</m:t>
                  </m:r>
                </m:den>
              </m:f>
            </m:e>
          </m:d>
          <m:r>
            <w:rPr>
              <w:rFonts w:ascii="Cambria Math" w:eastAsiaTheme="minorEastAsia" w:hAnsi="Cambria Math"/>
            </w:rPr>
            <m:t xml:space="preserve">                                                                                                                                                                            (11)</m:t>
          </m:r>
        </m:oMath>
      </m:oMathPara>
    </w:p>
    <w:p w:rsidR="00050D75" w:rsidRDefault="00050D75" w:rsidP="006A4601">
      <w:pPr>
        <w:rPr>
          <w:rFonts w:eastAsiaTheme="minorEastAsia"/>
        </w:rPr>
      </w:pPr>
    </w:p>
    <w:p w:rsidR="00050D75" w:rsidRDefault="00050D75" w:rsidP="006A4601">
      <w:pPr>
        <w:rPr>
          <w:rFonts w:eastAsiaTheme="minorEastAsia"/>
        </w:rPr>
      </w:pPr>
      <w:r>
        <w:rPr>
          <w:rFonts w:eastAsiaTheme="minorEastAsia"/>
        </w:rPr>
        <w:t xml:space="preserve">Daarmee wordt de maximale waarde van de drainageweerstand </w:t>
      </w:r>
      <m:oMath>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m</m:t>
            </m:r>
          </m:sub>
        </m:sSub>
      </m:oMath>
    </w:p>
    <w:p w:rsidR="00050D75" w:rsidRDefault="00050D75" w:rsidP="006A4601">
      <w:pPr>
        <w:rPr>
          <w:rFonts w:eastAsiaTheme="minorEastAsia"/>
        </w:rPr>
      </w:pPr>
    </w:p>
    <w:p w:rsidR="00050D75" w:rsidRPr="00F43584" w:rsidRDefault="00BF0CF0" w:rsidP="006A4601">
      <w:pPr>
        <w:rPr>
          <w:rFonts w:eastAsiaTheme="minorEastAsia"/>
        </w:rPr>
      </w:pPr>
      <m:oMathPara>
        <m:oMathParaPr>
          <m:jc m:val="left"/>
        </m:oMathParaPr>
        <m:oMath>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m</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c</m:t>
              </m:r>
            </m:den>
          </m:f>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d</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v</m:t>
                      </m:r>
                    </m:sub>
                  </m:sSub>
                  <m:r>
                    <w:rPr>
                      <w:rFonts w:ascii="Cambria Math" w:eastAsiaTheme="minorEastAsia" w:hAnsi="Cambria Math"/>
                    </w:rPr>
                    <m:t>-b</m:t>
                  </m:r>
                </m:den>
              </m:f>
            </m:e>
          </m:d>
          <m:r>
            <w:rPr>
              <w:rFonts w:ascii="Cambria Math" w:eastAsiaTheme="minorEastAsia" w:hAnsi="Cambria Math"/>
            </w:rPr>
            <m:t xml:space="preserve">                                                                                                                                                                     (12)</m:t>
          </m:r>
        </m:oMath>
      </m:oMathPara>
    </w:p>
    <w:p w:rsidR="00F43584" w:rsidRDefault="00F43584" w:rsidP="006A4601">
      <w:pPr>
        <w:rPr>
          <w:rFonts w:eastAsiaTheme="minorEastAsia"/>
        </w:rPr>
      </w:pPr>
    </w:p>
    <w:p w:rsidR="00F43584" w:rsidRDefault="00F43584" w:rsidP="006A4601">
      <w:pPr>
        <w:rPr>
          <w:rFonts w:eastAsiaTheme="minorEastAsia"/>
        </w:rPr>
      </w:pPr>
      <w:r>
        <w:rPr>
          <w:rFonts w:eastAsiaTheme="minorEastAsia"/>
        </w:rPr>
        <w:t>Na</w:t>
      </w:r>
      <w:r w:rsidR="00FC551F">
        <w:rPr>
          <w:rFonts w:eastAsiaTheme="minorEastAsia"/>
        </w:rPr>
        <w:t xml:space="preserve"> substitutie van vergelijking 9 in vergelijking 12</w:t>
      </w:r>
      <w:r>
        <w:rPr>
          <w:rFonts w:eastAsiaTheme="minorEastAsia"/>
        </w:rPr>
        <w:t xml:space="preserve"> wordt voor de maximale drainageweerstand de volgende expressie gevonden:</w:t>
      </w:r>
    </w:p>
    <w:p w:rsidR="00655C6A" w:rsidRDefault="00655C6A" w:rsidP="006A4601">
      <w:pPr>
        <w:rPr>
          <w:rFonts w:eastAsiaTheme="minorEastAsia"/>
        </w:rPr>
      </w:pPr>
    </w:p>
    <w:p w:rsidR="007D4974" w:rsidRPr="003129CF" w:rsidRDefault="00BF0CF0" w:rsidP="007D4974">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m</m:t>
              </m:r>
            </m:sub>
          </m:sSub>
          <m:r>
            <w:rPr>
              <w:rFonts w:ascii="Cambria Math" w:eastAsiaTheme="minorEastAsia" w:hAnsi="Cambria Math"/>
            </w:rPr>
            <m:t>=c exp</m:t>
          </m:r>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2a</m:t>
                  </m:r>
                </m:den>
              </m:f>
              <m:r>
                <w:rPr>
                  <w:rFonts w:ascii="Cambria Math" w:eastAsiaTheme="minorEastAsia" w:hAnsi="Cambria Math"/>
                </w:rPr>
                <m:t>j</m:t>
              </m:r>
            </m:e>
          </m:d>
          <m:r>
            <w:rPr>
              <w:rFonts w:ascii="Cambria Math" w:eastAsiaTheme="minorEastAsia" w:hAnsi="Cambria Math"/>
            </w:rPr>
            <m:t xml:space="preserve">                                                                                                                                                                         (13)</m:t>
          </m:r>
        </m:oMath>
      </m:oMathPara>
    </w:p>
    <w:p w:rsidR="007D4974" w:rsidRDefault="007D4974" w:rsidP="007D4974">
      <w:pPr>
        <w:pStyle w:val="Kop2"/>
      </w:pPr>
      <w:r>
        <w:t>De overdrachtsfactor bij een grondwaterstand op de drainagebasis</w:t>
      </w:r>
    </w:p>
    <w:p w:rsidR="00E71670" w:rsidRDefault="00E71670" w:rsidP="00E71670"/>
    <w:p w:rsidR="00DE1E69" w:rsidRDefault="00E71670" w:rsidP="00E71670">
      <w:r>
        <w:t xml:space="preserve">Door substitutie van de drainagebasis </w:t>
      </w:r>
      <m:oMath>
        <m:sSub>
          <m:sSubPr>
            <m:ctrlPr>
              <w:rPr>
                <w:rFonts w:ascii="Cambria Math" w:hAnsi="Cambria Math"/>
                <w:i/>
              </w:rPr>
            </m:ctrlPr>
          </m:sSubPr>
          <m:e>
            <m:r>
              <w:rPr>
                <w:rFonts w:ascii="Cambria Math" w:hAnsi="Cambria Math"/>
              </w:rPr>
              <m:t>h</m:t>
            </m:r>
          </m:e>
          <m:sub>
            <m:r>
              <w:rPr>
                <w:rFonts w:ascii="Cambria Math" w:hAnsi="Cambria Math"/>
              </w:rPr>
              <m:t>d</m:t>
            </m:r>
          </m:sub>
        </m:sSub>
      </m:oMath>
      <w:r w:rsidR="00FC551F">
        <w:t xml:space="preserve"> in vergelijking 6</w:t>
      </w:r>
      <w:r>
        <w:t xml:space="preserve"> wordt de maximale overdrachtsfactor gevonden. Hogere grondwaterstanden geven een kleinere overdrachtsfactor. Op de diepte van de draina</w:t>
      </w:r>
      <w:r w:rsidR="00634215">
        <w:t>gebasis</w:t>
      </w:r>
      <w:r>
        <w:t xml:space="preserve"> vertoont de overdrachtsfactor een discontinu</w:t>
      </w:r>
      <w:r w:rsidR="007F7887">
        <w:t>ï</w:t>
      </w:r>
      <w:r w:rsidR="00CC42DD">
        <w:t>teit door het abrupt</w:t>
      </w:r>
      <w:r w:rsidR="00DE1E69">
        <w:t xml:space="preserve"> niet meer aanwezig zijn van drainagemiddelen.</w:t>
      </w:r>
      <w:r w:rsidR="00945AA4">
        <w:t xml:space="preserve"> De overdrachtsfactor is 0 op de diepte</w:t>
      </w:r>
      <w:r w:rsidR="009D5F83">
        <w:t xml:space="preserve"> </w:t>
      </w:r>
      <m:oMath>
        <m:r>
          <w:rPr>
            <w:rFonts w:ascii="Cambria Math" w:hAnsi="Cambria Math"/>
          </w:rPr>
          <m:t>h-</m:t>
        </m:r>
        <m:sSub>
          <m:sSubPr>
            <m:ctrlPr>
              <w:rPr>
                <w:rFonts w:ascii="Cambria Math" w:hAnsi="Cambria Math"/>
                <w:i/>
              </w:rPr>
            </m:ctrlPr>
          </m:sSubPr>
          <m:e>
            <m:r>
              <w:rPr>
                <w:rFonts w:ascii="Cambria Math" w:hAnsi="Cambria Math"/>
              </w:rPr>
              <m:t>m</m:t>
            </m:r>
          </m:e>
          <m:sub>
            <m:r>
              <w:rPr>
                <w:rFonts w:ascii="Cambria Math" w:hAnsi="Cambria Math"/>
              </w:rPr>
              <m:t>v</m:t>
            </m:r>
          </m:sub>
        </m:sSub>
        <m:r>
          <w:rPr>
            <w:rFonts w:ascii="Cambria Math" w:hAnsi="Cambria Math"/>
          </w:rPr>
          <m:t>=b.</m:t>
        </m:r>
      </m:oMath>
      <w:r w:rsidR="00DE1E69">
        <w:t xml:space="preserve"> Bij lagere grondwaterstanden ten opzichte van maaiveld neemt </w:t>
      </w:r>
      <w:r w:rsidR="009D5F83">
        <w:t>de overdrachtsfactor toe tot de</w:t>
      </w:r>
      <w:r w:rsidR="00DE1E69">
        <w:t xml:space="preserve"> waarde</w:t>
      </w:r>
      <w:r w:rsidR="009D5F83">
        <w:t xml:space="preserve">  </w:t>
      </w:r>
      <m:oMath>
        <m:sSub>
          <m:sSubPr>
            <m:ctrlPr>
              <w:rPr>
                <w:rFonts w:ascii="Cambria Math" w:hAnsi="Cambria Math"/>
                <w:i/>
                <w:sz w:val="24"/>
              </w:rPr>
            </m:ctrlPr>
          </m:sSubPr>
          <m:e>
            <m:r>
              <w:rPr>
                <w:rFonts w:ascii="Cambria Math" w:hAnsi="Cambria Math"/>
              </w:rPr>
              <m:t>F</m:t>
            </m:r>
          </m:e>
          <m:sub>
            <m:r>
              <w:rPr>
                <w:rFonts w:ascii="Cambria Math" w:hAnsi="Cambria Math"/>
              </w:rPr>
              <m:t>m</m:t>
            </m:r>
          </m:sub>
        </m:sSub>
      </m:oMath>
      <w:r w:rsidR="009D5F83">
        <w:t xml:space="preserve"> op de drainagebasis</w:t>
      </w:r>
      <w:r w:rsidR="00DE1E69">
        <w:t>, waarbij geldt:</w:t>
      </w:r>
    </w:p>
    <w:p w:rsidR="007F7887" w:rsidRDefault="007F7887" w:rsidP="00E71670"/>
    <w:p w:rsidR="007F7887" w:rsidRPr="009D5F83" w:rsidRDefault="00BF0CF0" w:rsidP="00E71670">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m</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exp</m:t>
                      </m:r>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2a</m:t>
                              </m:r>
                            </m:den>
                          </m:f>
                          <m:r>
                            <w:rPr>
                              <w:rFonts w:ascii="Cambria Math" w:hAnsi="Cambria Math"/>
                            </w:rPr>
                            <m:t>j</m:t>
                          </m:r>
                        </m:e>
                      </m:d>
                    </m:e>
                  </m:d>
                </m:e>
                <m:sup>
                  <m:r>
                    <w:rPr>
                      <w:rFonts w:ascii="Cambria Math" w:hAnsi="Cambria Math"/>
                    </w:rPr>
                    <m:t>-1</m:t>
                  </m:r>
                </m:sup>
              </m:sSup>
            </m:den>
          </m:f>
          <m:r>
            <w:rPr>
              <w:rFonts w:ascii="Cambria Math" w:hAnsi="Cambria Math"/>
            </w:rPr>
            <m:t xml:space="preserve">                                                                                                                                                            (14)   </m:t>
          </m:r>
        </m:oMath>
      </m:oMathPara>
    </w:p>
    <w:p w:rsidR="009D5F83" w:rsidRDefault="009D5F83" w:rsidP="00E71670"/>
    <w:p w:rsidR="009D5F83" w:rsidRPr="00945AA4" w:rsidRDefault="009D5F83" w:rsidP="00E71670">
      <w:r>
        <w:t>Bij</w:t>
      </w:r>
      <w:r w:rsidR="007E521E">
        <w:t xml:space="preserve"> grondwaterstanden onder de drainagebasis geldt uiteraard dat de overdrachtsfactor gelijk is aan de waarde 1.</w:t>
      </w:r>
    </w:p>
    <w:p w:rsidR="00AA70CE" w:rsidRDefault="00401EE8" w:rsidP="00405F48">
      <w:pPr>
        <w:pStyle w:val="Kop2"/>
      </w:pPr>
      <w:r>
        <w:t>Vergelijking met een gemeten U/h relatie</w:t>
      </w:r>
    </w:p>
    <w:p w:rsidR="00401EE8" w:rsidRDefault="00401EE8" w:rsidP="00401EE8"/>
    <w:p w:rsidR="00401EE8" w:rsidRDefault="008F59F2" w:rsidP="00401EE8">
      <w:r>
        <w:t>De vraag is nu</w:t>
      </w:r>
      <w:r w:rsidR="00401EE8">
        <w:t>: Hoe kan de hypothese</w:t>
      </w:r>
      <w:r w:rsidR="00CB18E5">
        <w:t>,</w:t>
      </w:r>
      <w:r w:rsidR="00401EE8">
        <w:t xml:space="preserve"> dat de overdrachtsfactor een </w:t>
      </w:r>
      <w:r w:rsidR="00CB18E5">
        <w:t xml:space="preserve">hyperbolisch verloop heeft, hard worden gemaakt. </w:t>
      </w:r>
    </w:p>
    <w:p w:rsidR="00CB18E5" w:rsidRDefault="00CB18E5" w:rsidP="00401EE8">
      <w:r>
        <w:t>Een mogelijkheid wordt geboden door de</w:t>
      </w:r>
      <w:r w:rsidR="00184A7C">
        <w:t>,</w:t>
      </w:r>
      <w:r>
        <w:t xml:space="preserve"> op basis van de overdrachtsfactor</w:t>
      </w:r>
      <w:r w:rsidR="00184A7C">
        <w:t>, afgeleide U/h relatie</w:t>
      </w:r>
      <w:r>
        <w:t xml:space="preserve"> te vergelijken met gemeten U/h relaties.</w:t>
      </w:r>
    </w:p>
    <w:p w:rsidR="00CB18E5" w:rsidRDefault="00CB18E5" w:rsidP="00401EE8">
      <w:r>
        <w:t>Voorwaarde is uiteraard wel dat de</w:t>
      </w:r>
      <w:r w:rsidR="00170F9D">
        <w:t xml:space="preserve"> geohydrologische situatie waarvoor de</w:t>
      </w:r>
      <w:r>
        <w:t xml:space="preserve"> gemeten relatie</w:t>
      </w:r>
      <w:r w:rsidR="00170F9D">
        <w:t xml:space="preserve"> geldt vergelijkbaar moet zijn met de situatie waarvoor de hyperbolische overdrachtsfactor is aangenomen en ook de aannames en schematiseringen dienen overeen te stemmen.</w:t>
      </w:r>
    </w:p>
    <w:p w:rsidR="001F0B41" w:rsidRDefault="00170F9D" w:rsidP="00401EE8">
      <w:r>
        <w:t>In Ernst (1971) wordt een geohydrologische situatie</w:t>
      </w:r>
      <w:r w:rsidR="008B195A">
        <w:t xml:space="preserve"> met stationaire </w:t>
      </w:r>
      <w:r w:rsidR="001F0B41">
        <w:t>stroming</w:t>
      </w:r>
      <w:r>
        <w:t xml:space="preserve"> geanalyseerd </w:t>
      </w:r>
      <w:r w:rsidR="008B195A">
        <w:t>die</w:t>
      </w:r>
      <w:r w:rsidR="001F0B41">
        <w:t xml:space="preserve"> vergelijkbaar is met de situatie in dit artikel.</w:t>
      </w:r>
    </w:p>
    <w:p w:rsidR="001F0B41" w:rsidRDefault="001F0B41" w:rsidP="001F0B41">
      <w:r>
        <w:t>Belangrijk zijn twee statements van Ernst:</w:t>
      </w:r>
    </w:p>
    <w:p w:rsidR="00024E9D" w:rsidRDefault="001F0B41" w:rsidP="001F0B41">
      <w:pPr>
        <w:pStyle w:val="Lijstalinea"/>
        <w:numPr>
          <w:ilvl w:val="0"/>
          <w:numId w:val="3"/>
        </w:numPr>
      </w:pPr>
      <w:r>
        <w:t>It will be assumed that the top layer has a moderately large transmissivity, so that in this layer no horizontal transport of groundwater over distances larger than half the spacing of the surface drains has to be taken into account.</w:t>
      </w:r>
    </w:p>
    <w:p w:rsidR="00170F9D" w:rsidRDefault="00024E9D" w:rsidP="001F0B41">
      <w:pPr>
        <w:pStyle w:val="Lijstalinea"/>
        <w:numPr>
          <w:ilvl w:val="0"/>
          <w:numId w:val="3"/>
        </w:numPr>
      </w:pPr>
      <w:r>
        <w:t xml:space="preserve">Below </w:t>
      </w:r>
      <m:oMath>
        <m:sSub>
          <m:sSubPr>
            <m:ctrlPr>
              <w:rPr>
                <w:rFonts w:ascii="Cambria Math" w:hAnsi="Cambria Math"/>
                <w:i/>
              </w:rPr>
            </m:ctrlPr>
          </m:sSubPr>
          <m:e>
            <m:r>
              <w:rPr>
                <w:rFonts w:ascii="Cambria Math" w:hAnsi="Cambria Math"/>
              </w:rPr>
              <m:t>z</m:t>
            </m:r>
          </m:e>
          <m:sub>
            <m:r>
              <w:rPr>
                <w:rFonts w:ascii="Cambria Math" w:hAnsi="Cambria Math"/>
              </w:rPr>
              <m:t>b1</m:t>
            </m:r>
          </m:sub>
        </m:sSub>
      </m:oMath>
      <w:r>
        <w:t xml:space="preserve"> the dashed line is vertical and this means that at lower phreatic levels there is no groundwaterdischarge of any importance.</w:t>
      </w:r>
    </w:p>
    <w:p w:rsidR="00024E9D" w:rsidRDefault="00024E9D" w:rsidP="00024E9D"/>
    <w:p w:rsidR="00024E9D" w:rsidRDefault="00024E9D" w:rsidP="00024E9D">
      <w:r>
        <w:t>Ik vertaal beide statements als volgt:</w:t>
      </w:r>
    </w:p>
    <w:p w:rsidR="00024E9D" w:rsidRDefault="00157CB2" w:rsidP="00157CB2">
      <w:pPr>
        <w:pStyle w:val="Lijstalinea"/>
        <w:numPr>
          <w:ilvl w:val="0"/>
          <w:numId w:val="3"/>
        </w:numPr>
      </w:pPr>
      <w:r>
        <w:t>De horizontale stroming in het freatische pakket is verwaarloosbaar klein indien wordt gerekend met een gebiedsgemiddelde grondwaterstand.</w:t>
      </w:r>
    </w:p>
    <w:p w:rsidR="00157CB2" w:rsidRDefault="00157CB2" w:rsidP="00157CB2">
      <w:pPr>
        <w:pStyle w:val="Lijstalinea"/>
        <w:numPr>
          <w:ilvl w:val="0"/>
          <w:numId w:val="3"/>
        </w:numPr>
      </w:pPr>
      <w:r>
        <w:t>Met een grondwaterstand gelijk of lager dan de diepte van de regionale drainagebasis  is de afvoer van grondwater d</w:t>
      </w:r>
      <w:r w:rsidR="00333A6A">
        <w:t>oor de drainage</w:t>
      </w:r>
      <w:r>
        <w:t>middelen nihil.</w:t>
      </w:r>
    </w:p>
    <w:p w:rsidR="002B15AC" w:rsidRDefault="002B15AC" w:rsidP="002B15AC">
      <w:pPr>
        <w:ind w:left="360"/>
      </w:pPr>
    </w:p>
    <w:p w:rsidR="002B15AC" w:rsidRDefault="00E80592" w:rsidP="00E80592">
      <w:r>
        <w:t>In Van den Akker (2014</w:t>
      </w:r>
      <w:r w:rsidR="00790A19">
        <w:t xml:space="preserve"> a</w:t>
      </w:r>
      <w:r>
        <w:t>) is de match uitgevoerd tussen de gemeten relatie in Ernst (1971) en vergelijking 9 in dit artikel.</w:t>
      </w:r>
      <w:r w:rsidR="00527426">
        <w:t xml:space="preserve"> </w:t>
      </w:r>
      <w:r w:rsidR="00837787">
        <w:t>De volgende waarden werden vastgesteld:</w:t>
      </w:r>
    </w:p>
    <w:p w:rsidR="00837787" w:rsidRPr="00837787" w:rsidRDefault="00837787" w:rsidP="00E80592">
      <m:oMathPara>
        <m:oMathParaPr>
          <m:jc m:val="left"/>
        </m:oMathParaPr>
        <m:oMath>
          <m:r>
            <w:rPr>
              <w:rFonts w:ascii="Cambria Math" w:hAnsi="Cambria Math"/>
            </w:rPr>
            <m:t>a=-0,15 m</m:t>
          </m:r>
        </m:oMath>
      </m:oMathPara>
    </w:p>
    <w:p w:rsidR="00837787" w:rsidRPr="00837787" w:rsidRDefault="00837787" w:rsidP="00E80592">
      <m:oMathPara>
        <m:oMathParaPr>
          <m:jc m:val="left"/>
        </m:oMathParaPr>
        <m:oMath>
          <m:r>
            <w:rPr>
              <w:rFonts w:ascii="Cambria Math" w:hAnsi="Cambria Math"/>
            </w:rPr>
            <m:t>b=-0,25 m</m:t>
          </m:r>
        </m:oMath>
      </m:oMathPara>
    </w:p>
    <w:p w:rsidR="00837787" w:rsidRPr="00837787" w:rsidRDefault="00837787" w:rsidP="00E80592">
      <m:oMathPara>
        <m:oMathParaPr>
          <m:jc m:val="left"/>
        </m:oMathParaPr>
        <m:oMath>
          <m:r>
            <w:rPr>
              <w:rFonts w:ascii="Cambria Math" w:hAnsi="Cambria Math"/>
            </w:rPr>
            <m:t>c=150 dagen</m:t>
          </m:r>
        </m:oMath>
      </m:oMathPara>
    </w:p>
    <w:p w:rsidR="00837787" w:rsidRPr="00837787" w:rsidRDefault="00837787" w:rsidP="00E80592">
      <m:oMathPara>
        <m:oMathParaPr>
          <m:jc m:val="left"/>
        </m:oMathParaPr>
        <m:oMath>
          <m:r>
            <w:rPr>
              <w:rFonts w:ascii="Cambria Math" w:hAnsi="Cambria Math"/>
            </w:rPr>
            <m:t>j=5 mm/dag</m:t>
          </m:r>
        </m:oMath>
      </m:oMathPara>
    </w:p>
    <w:p w:rsidR="00E80592" w:rsidRDefault="00E80592" w:rsidP="00E80592">
      <w:r>
        <w:t>Dit levert als resultaat:</w:t>
      </w:r>
    </w:p>
    <w:p w:rsidR="00E80592" w:rsidRDefault="00E80592" w:rsidP="002B15AC">
      <w:pPr>
        <w:ind w:left="360"/>
      </w:pPr>
    </w:p>
    <w:p w:rsidR="00E80592" w:rsidRPr="00B44CEC" w:rsidRDefault="00E80592" w:rsidP="00E80592">
      <w:pPr>
        <w:rPr>
          <w:rFonts w:eastAsiaTheme="minorEastAsia"/>
        </w:rPr>
      </w:pPr>
      <m:oMathPara>
        <m:oMathParaPr>
          <m:jc m:val="left"/>
        </m:oMathParaPr>
        <m:oMath>
          <m:r>
            <w:rPr>
              <w:rFonts w:ascii="Cambria Math" w:eastAsiaTheme="minorEastAsia" w:hAnsi="Cambria Math"/>
            </w:rPr>
            <m:t>U=2,5*</m:t>
          </m:r>
          <m:sSup>
            <m:sSupPr>
              <m:ctrlPr>
                <w:rPr>
                  <w:rFonts w:ascii="Cambria Math" w:eastAsiaTheme="minorEastAsia" w:hAnsi="Cambria Math"/>
                  <w:i/>
                  <w:kern w:val="3"/>
                  <w:sz w:val="24"/>
                  <w:lang w:eastAsia="en-US"/>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m:t>
          </m:r>
          <m:f>
            <m:fPr>
              <m:ctrlPr>
                <w:rPr>
                  <w:rFonts w:ascii="Cambria Math" w:eastAsiaTheme="minorEastAsia" w:hAnsi="Cambria Math"/>
                  <w:i/>
                  <w:kern w:val="3"/>
                  <w:sz w:val="24"/>
                  <w:lang w:eastAsia="en-US"/>
                </w:rPr>
              </m:ctrlPr>
            </m:fPr>
            <m:num>
              <m:r>
                <w:rPr>
                  <w:rFonts w:ascii="Cambria Math" w:eastAsiaTheme="minorEastAsia" w:hAnsi="Cambria Math"/>
                </w:rPr>
                <m:t>-0,15</m:t>
              </m:r>
            </m:num>
            <m:den>
              <m:r>
                <w:rPr>
                  <w:rFonts w:ascii="Cambria Math" w:eastAsiaTheme="minorEastAsia" w:hAnsi="Cambria Math"/>
                </w:rPr>
                <m:t>150</m:t>
              </m:r>
            </m:den>
          </m:f>
          <m:d>
            <m:dPr>
              <m:begChr m:val="{"/>
              <m:endChr m:val="}"/>
              <m:ctrlPr>
                <w:rPr>
                  <w:rFonts w:ascii="Cambria Math" w:eastAsiaTheme="minorEastAsia" w:hAnsi="Cambria Math"/>
                  <w:i/>
                  <w:kern w:val="3"/>
                  <w:sz w:val="24"/>
                  <w:lang w:eastAsia="en-US"/>
                </w:rPr>
              </m:ctrlPr>
            </m:dPr>
            <m:e>
              <m:r>
                <w:rPr>
                  <w:rFonts w:ascii="Cambria Math" w:eastAsiaTheme="minorEastAsia" w:hAnsi="Cambria Math"/>
                </w:rPr>
                <m:t>ln</m:t>
              </m:r>
              <m:d>
                <m:dPr>
                  <m:ctrlPr>
                    <w:rPr>
                      <w:rFonts w:ascii="Cambria Math" w:eastAsiaTheme="minorEastAsia" w:hAnsi="Cambria Math"/>
                      <w:i/>
                      <w:kern w:val="3"/>
                      <w:sz w:val="24"/>
                      <w:lang w:eastAsia="en-US"/>
                    </w:rPr>
                  </m:ctrlPr>
                </m:dPr>
                <m:e>
                  <m:f>
                    <m:fPr>
                      <m:ctrlPr>
                        <w:rPr>
                          <w:rFonts w:ascii="Cambria Math" w:eastAsiaTheme="minorEastAsia" w:hAnsi="Cambria Math"/>
                          <w:i/>
                          <w:kern w:val="3"/>
                          <w:sz w:val="24"/>
                          <w:lang w:eastAsia="en-US"/>
                        </w:rPr>
                      </m:ctrlPr>
                    </m:fPr>
                    <m:num>
                      <m:r>
                        <w:rPr>
                          <w:rFonts w:ascii="Cambria Math" w:eastAsiaTheme="minorEastAsia" w:hAnsi="Cambria Math"/>
                        </w:rPr>
                        <m:t>-h+</m:t>
                      </m:r>
                      <m:sSub>
                        <m:sSubPr>
                          <m:ctrlPr>
                            <w:rPr>
                              <w:rFonts w:ascii="Cambria Math" w:eastAsiaTheme="minorEastAsia" w:hAnsi="Cambria Math"/>
                              <w:i/>
                              <w:kern w:val="3"/>
                              <w:sz w:val="24"/>
                              <w:lang w:eastAsia="en-US"/>
                            </w:rPr>
                          </m:ctrlPr>
                        </m:sSubPr>
                        <m:e>
                          <m:r>
                            <w:rPr>
                              <w:rFonts w:ascii="Cambria Math" w:eastAsiaTheme="minorEastAsia" w:hAnsi="Cambria Math"/>
                            </w:rPr>
                            <m:t>m</m:t>
                          </m:r>
                        </m:e>
                        <m:sub>
                          <m:r>
                            <w:rPr>
                              <w:rFonts w:ascii="Cambria Math" w:eastAsiaTheme="minorEastAsia" w:hAnsi="Cambria Math"/>
                            </w:rPr>
                            <m:t>v</m:t>
                          </m:r>
                        </m:sub>
                      </m:sSub>
                      <m:r>
                        <w:rPr>
                          <w:rFonts w:ascii="Cambria Math" w:eastAsiaTheme="minorEastAsia" w:hAnsi="Cambria Math"/>
                        </w:rPr>
                        <m:t>-0,25</m:t>
                      </m:r>
                    </m:num>
                    <m:den>
                      <m:r>
                        <w:rPr>
                          <w:rFonts w:ascii="Cambria Math" w:eastAsiaTheme="minorEastAsia" w:hAnsi="Cambria Math"/>
                        </w:rPr>
                        <m:t>0,15</m:t>
                      </m:r>
                    </m:den>
                  </m:f>
                </m:e>
              </m:d>
            </m:e>
          </m:d>
          <m:r>
            <w:rPr>
              <w:rFonts w:ascii="Cambria Math" w:eastAsiaTheme="minorEastAsia" w:hAnsi="Cambria Math"/>
            </w:rPr>
            <m:t xml:space="preserve">                                                                                                                       (15)</m:t>
          </m:r>
        </m:oMath>
      </m:oMathPara>
    </w:p>
    <w:p w:rsidR="00B44CEC" w:rsidRDefault="00B44CEC" w:rsidP="00E80592">
      <w:pPr>
        <w:rPr>
          <w:rFonts w:eastAsiaTheme="minorEastAsia"/>
        </w:rPr>
      </w:pPr>
    </w:p>
    <w:p w:rsidR="006C6CA1" w:rsidRDefault="00C272C8" w:rsidP="00E80592">
      <w:pPr>
        <w:rPr>
          <w:rFonts w:eastAsiaTheme="minorEastAsia"/>
        </w:rPr>
      </w:pPr>
      <w:r>
        <w:rPr>
          <w:rFonts w:eastAsiaTheme="minorEastAsia"/>
        </w:rPr>
        <w:t>In afbeelding 2</w:t>
      </w:r>
      <w:r w:rsidR="00B44CEC">
        <w:rPr>
          <w:rFonts w:eastAsiaTheme="minorEastAsia"/>
        </w:rPr>
        <w:t xml:space="preserve"> Is het verloop van de U/h relatie uit Ernst (1971) weergegeven samen met het verloop verkre</w:t>
      </w:r>
      <w:r w:rsidR="00FC551F">
        <w:rPr>
          <w:rFonts w:eastAsiaTheme="minorEastAsia"/>
        </w:rPr>
        <w:t>gen op basis van vergelijking 15</w:t>
      </w:r>
      <w:r w:rsidR="00B44CEC">
        <w:rPr>
          <w:rFonts w:eastAsiaTheme="minorEastAsia"/>
        </w:rPr>
        <w:t xml:space="preserve">. </w:t>
      </w:r>
      <w:r w:rsidR="00522C00">
        <w:rPr>
          <w:rFonts w:eastAsiaTheme="minorEastAsia"/>
        </w:rPr>
        <w:t>De fit is vrijwel exact</w:t>
      </w:r>
      <w:r w:rsidR="003F3B0A">
        <w:rPr>
          <w:rFonts w:eastAsiaTheme="minorEastAsia"/>
        </w:rPr>
        <w:t>, slechts bij</w:t>
      </w:r>
      <w:r w:rsidR="00A63D40">
        <w:rPr>
          <w:rFonts w:eastAsiaTheme="minorEastAsia"/>
        </w:rPr>
        <w:t xml:space="preserve"> lage grondwaterstanden net boven de regionale drainagebasis is er een afwijking.</w:t>
      </w:r>
    </w:p>
    <w:p w:rsidR="00C272C8" w:rsidRPr="00516842" w:rsidRDefault="002031CC" w:rsidP="00E80592">
      <w:pPr>
        <w:rPr>
          <w:rFonts w:eastAsiaTheme="minorEastAsia"/>
        </w:rPr>
      </w:pPr>
      <w:r>
        <w:rPr>
          <w:rFonts w:eastAsiaTheme="minorEastAsia"/>
          <w:noProof/>
        </w:rPr>
        <w:drawing>
          <wp:inline distT="0" distB="0" distL="0" distR="0">
            <wp:extent cx="4926840" cy="2859206"/>
            <wp:effectExtent l="0" t="0" r="762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14012015_00000.bmp"/>
                    <pic:cNvPicPr/>
                  </pic:nvPicPr>
                  <pic:blipFill rotWithShape="1">
                    <a:blip r:embed="rId9" cstate="print">
                      <a:extLst>
                        <a:ext uri="{28A0092B-C50C-407E-A947-70E740481C1C}">
                          <a14:useLocalDpi xmlns:a14="http://schemas.microsoft.com/office/drawing/2010/main" val="0"/>
                        </a:ext>
                      </a:extLst>
                    </a:blip>
                    <a:srcRect t="10489" b="48822"/>
                    <a:stretch/>
                  </pic:blipFill>
                  <pic:spPr bwMode="auto">
                    <a:xfrm>
                      <a:off x="0" y="0"/>
                      <a:ext cx="4928235" cy="2860016"/>
                    </a:xfrm>
                    <a:prstGeom prst="rect">
                      <a:avLst/>
                    </a:prstGeom>
                    <a:ln>
                      <a:noFill/>
                    </a:ln>
                    <a:extLst>
                      <a:ext uri="{53640926-AAD7-44D8-BBD7-CCE9431645EC}">
                        <a14:shadowObscured xmlns:a14="http://schemas.microsoft.com/office/drawing/2010/main"/>
                      </a:ext>
                    </a:extLst>
                  </pic:spPr>
                </pic:pic>
              </a:graphicData>
            </a:graphic>
          </wp:inline>
        </w:drawing>
      </w:r>
      <w:r w:rsidR="00C272C8">
        <w:rPr>
          <w:rFonts w:eastAsiaTheme="minorEastAsia"/>
          <w:b/>
        </w:rPr>
        <w:t xml:space="preserve">Afbeelding 2: </w:t>
      </w:r>
      <w:r w:rsidR="00C272C8" w:rsidRPr="003A5973">
        <w:rPr>
          <w:rFonts w:eastAsiaTheme="minorEastAsia"/>
        </w:rPr>
        <w:t>Het verloop van de U/h relatie</w:t>
      </w:r>
    </w:p>
    <w:p w:rsidR="0078578E" w:rsidRDefault="00FC551F" w:rsidP="00E80592">
      <w:pPr>
        <w:rPr>
          <w:rFonts w:eastAsiaTheme="minorEastAsia"/>
        </w:rPr>
      </w:pPr>
      <w:r>
        <w:rPr>
          <w:rFonts w:eastAsiaTheme="minorEastAsia"/>
        </w:rPr>
        <w:t>Met behulp van vergelijking 9</w:t>
      </w:r>
      <w:r w:rsidR="00527426">
        <w:rPr>
          <w:rFonts w:eastAsiaTheme="minorEastAsia"/>
        </w:rPr>
        <w:t xml:space="preserve"> wordt de diepte van de regionale basis gevonden, dus de diepte van de grondwaterstand waar de oppervlaktewater afvoer uit het grondwater gelijk 0 is.</w:t>
      </w:r>
    </w:p>
    <w:p w:rsidR="00186BF1" w:rsidRDefault="00527426" w:rsidP="00E80592">
      <w:pPr>
        <w:rPr>
          <w:rFonts w:eastAsiaTheme="minorEastAsia"/>
        </w:rPr>
      </w:pPr>
      <w:r>
        <w:rPr>
          <w:rFonts w:eastAsiaTheme="minorEastAsia"/>
        </w:rPr>
        <w:t xml:space="preserve">Deze regionale drainagediepte </w:t>
      </w:r>
      <w:r w:rsidR="00186BF1">
        <w:rPr>
          <w:rFonts w:eastAsiaTheme="minorEastAsia"/>
        </w:rPr>
        <w:t>is:</w:t>
      </w:r>
    </w:p>
    <w:p w:rsidR="00186BF1" w:rsidRDefault="00186BF1" w:rsidP="00E80592">
      <w:pPr>
        <w:rPr>
          <w:rFonts w:eastAsiaTheme="minorEastAsia"/>
        </w:rPr>
      </w:pPr>
    </w:p>
    <w:p w:rsidR="00186BF1" w:rsidRPr="00AF46F2" w:rsidRDefault="00BF0CF0" w:rsidP="00E80592">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d</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v</m:t>
              </m:r>
            </m:sub>
          </m:sSub>
          <m:r>
            <w:rPr>
              <w:rFonts w:ascii="Cambria Math" w:eastAsiaTheme="minorEastAsia" w:hAnsi="Cambria Math"/>
            </w:rPr>
            <m:t>=a exp</m:t>
          </m:r>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2a</m:t>
                  </m:r>
                </m:den>
              </m:f>
              <m:r>
                <w:rPr>
                  <w:rFonts w:ascii="Cambria Math" w:eastAsiaTheme="minorEastAsia" w:hAnsi="Cambria Math"/>
                </w:rPr>
                <m:t>j</m:t>
              </m:r>
            </m:e>
          </m:d>
          <m:r>
            <w:rPr>
              <w:rFonts w:ascii="Cambria Math" w:eastAsiaTheme="minorEastAsia" w:hAnsi="Cambria Math"/>
            </w:rPr>
            <m:t>+b=-2,08 meter</m:t>
          </m:r>
        </m:oMath>
      </m:oMathPara>
    </w:p>
    <w:p w:rsidR="00527426" w:rsidRPr="00837787" w:rsidRDefault="00527426" w:rsidP="00E80592">
      <w:pPr>
        <w:rPr>
          <w:rFonts w:eastAsiaTheme="minorEastAsia"/>
        </w:rPr>
      </w:pPr>
      <m:oMathPara>
        <m:oMathParaPr>
          <m:jc m:val="left"/>
        </m:oMathParaPr>
        <m:oMath>
          <m:r>
            <w:rPr>
              <w:rFonts w:ascii="Cambria Math" w:eastAsiaTheme="minorEastAsia" w:hAnsi="Cambria Math"/>
            </w:rPr>
            <m:t xml:space="preserve">   </m:t>
          </m:r>
        </m:oMath>
      </m:oMathPara>
    </w:p>
    <w:p w:rsidR="00802339" w:rsidRDefault="00837787" w:rsidP="00E80592">
      <w:pPr>
        <w:rPr>
          <w:rFonts w:eastAsiaTheme="minorEastAsia"/>
        </w:rPr>
      </w:pPr>
      <w:r>
        <w:rPr>
          <w:rFonts w:eastAsiaTheme="minorEastAsia"/>
        </w:rPr>
        <w:t xml:space="preserve">De relatie uit Ernst (1971) geeft op een diepte van 2,08 meter een afvoer van 0,1 mm/dag. Zou de relatie van Ernst doorgezet worden voor lagere grondwaterstanden, </w:t>
      </w:r>
      <w:r w:rsidR="00802339">
        <w:rPr>
          <w:rFonts w:eastAsiaTheme="minorEastAsia"/>
        </w:rPr>
        <w:t>zoals hij doet in fig. 8 van zijn publicatie, dan is daaruit af te leiden dat Ernst de drainagebasis inschat op ongeveer op 2,8 meter.</w:t>
      </w:r>
    </w:p>
    <w:p w:rsidR="00E87251" w:rsidRDefault="00E87251" w:rsidP="00E80592">
      <w:pPr>
        <w:rPr>
          <w:rFonts w:eastAsiaTheme="minorEastAsia"/>
        </w:rPr>
      </w:pPr>
      <w:r>
        <w:rPr>
          <w:rFonts w:eastAsiaTheme="minorEastAsia"/>
        </w:rPr>
        <w:t>Voor de maximale waarde van de drainageweerstand wordt met behulp van vergelijking 14 het volgende resultaat verkregen:</w:t>
      </w:r>
    </w:p>
    <w:p w:rsidR="00837787" w:rsidRPr="00E87251" w:rsidRDefault="00837787" w:rsidP="00E80592">
      <w:pPr>
        <w:rPr>
          <w:rFonts w:eastAsiaTheme="minorEastAsia"/>
        </w:rPr>
      </w:pPr>
    </w:p>
    <w:p w:rsidR="00527426" w:rsidRPr="008C4B31" w:rsidRDefault="00BF0CF0" w:rsidP="00E80592">
      <w:pPr>
        <w:rPr>
          <w:rFonts w:eastAsiaTheme="minorEastAsia"/>
          <w:szCs w:val="16"/>
        </w:rPr>
      </w:pPr>
      <m:oMathPara>
        <m:oMathParaPr>
          <m:jc m:val="left"/>
        </m:oMathParaPr>
        <m:oMath>
          <m:sSub>
            <m:sSubPr>
              <m:ctrlPr>
                <w:rPr>
                  <w:rFonts w:ascii="Cambria Math" w:eastAsiaTheme="minorEastAsia" w:hAnsi="Cambria Math"/>
                  <w:i/>
                  <w:szCs w:val="16"/>
                </w:rPr>
              </m:ctrlPr>
            </m:sSubPr>
            <m:e>
              <m:r>
                <w:rPr>
                  <w:rFonts w:ascii="Cambria Math" w:eastAsiaTheme="minorEastAsia" w:hAnsi="Cambria Math"/>
                  <w:szCs w:val="16"/>
                </w:rPr>
                <m:t>γ</m:t>
              </m:r>
            </m:e>
            <m:sub>
              <m:r>
                <w:rPr>
                  <w:rFonts w:ascii="Cambria Math" w:eastAsiaTheme="minorEastAsia" w:hAnsi="Cambria Math"/>
                  <w:szCs w:val="16"/>
                </w:rPr>
                <m:t>m</m:t>
              </m:r>
            </m:sub>
          </m:sSub>
          <m:r>
            <w:rPr>
              <w:rFonts w:ascii="Cambria Math" w:eastAsiaTheme="minorEastAsia" w:hAnsi="Cambria Math"/>
              <w:szCs w:val="16"/>
            </w:rPr>
            <m:t>=c exp</m:t>
          </m:r>
          <m:d>
            <m:dPr>
              <m:ctrlPr>
                <w:rPr>
                  <w:rFonts w:ascii="Cambria Math" w:eastAsiaTheme="minorEastAsia" w:hAnsi="Cambria Math"/>
                  <w:i/>
                  <w:szCs w:val="16"/>
                </w:rPr>
              </m:ctrlPr>
            </m:dPr>
            <m:e>
              <m:r>
                <w:rPr>
                  <w:rFonts w:ascii="Cambria Math" w:eastAsiaTheme="minorEastAsia" w:hAnsi="Cambria Math"/>
                  <w:szCs w:val="16"/>
                </w:rPr>
                <m:t>-</m:t>
              </m:r>
              <m:f>
                <m:fPr>
                  <m:ctrlPr>
                    <w:rPr>
                      <w:rFonts w:ascii="Cambria Math" w:eastAsiaTheme="minorEastAsia" w:hAnsi="Cambria Math"/>
                      <w:i/>
                      <w:szCs w:val="16"/>
                    </w:rPr>
                  </m:ctrlPr>
                </m:fPr>
                <m:num>
                  <m:r>
                    <w:rPr>
                      <w:rFonts w:ascii="Cambria Math" w:eastAsiaTheme="minorEastAsia" w:hAnsi="Cambria Math"/>
                      <w:szCs w:val="16"/>
                    </w:rPr>
                    <m:t>c</m:t>
                  </m:r>
                </m:num>
                <m:den>
                  <m:r>
                    <w:rPr>
                      <w:rFonts w:ascii="Cambria Math" w:eastAsiaTheme="minorEastAsia" w:hAnsi="Cambria Math"/>
                      <w:szCs w:val="16"/>
                    </w:rPr>
                    <m:t>2a</m:t>
                  </m:r>
                </m:den>
              </m:f>
              <m:r>
                <w:rPr>
                  <w:rFonts w:ascii="Cambria Math" w:eastAsiaTheme="minorEastAsia" w:hAnsi="Cambria Math"/>
                  <w:szCs w:val="16"/>
                </w:rPr>
                <m:t>j</m:t>
              </m:r>
            </m:e>
          </m:d>
          <m:r>
            <w:rPr>
              <w:rFonts w:ascii="Cambria Math" w:eastAsiaTheme="minorEastAsia" w:hAnsi="Cambria Math"/>
              <w:szCs w:val="16"/>
            </w:rPr>
            <m:t>=1827 dagen</m:t>
          </m:r>
        </m:oMath>
      </m:oMathPara>
    </w:p>
    <w:p w:rsidR="008C4B31" w:rsidRDefault="008C4B31" w:rsidP="00E80592">
      <w:pPr>
        <w:rPr>
          <w:rFonts w:eastAsiaTheme="minorEastAsia"/>
          <w:szCs w:val="16"/>
        </w:rPr>
      </w:pPr>
    </w:p>
    <w:p w:rsidR="00EF45DE" w:rsidRDefault="008C4B31" w:rsidP="00E80592">
      <w:pPr>
        <w:rPr>
          <w:rFonts w:eastAsiaTheme="minorEastAsia"/>
          <w:szCs w:val="16"/>
        </w:rPr>
      </w:pPr>
      <w:r>
        <w:rPr>
          <w:rFonts w:eastAsiaTheme="minorEastAsia"/>
          <w:szCs w:val="16"/>
        </w:rPr>
        <w:t>Op de diepte van 2,08 m minus maaiveld wordt aan de hand van fig. 8 uit Ernst (1971) een drainageweerstand geschat die</w:t>
      </w:r>
      <w:r w:rsidR="00BD794B">
        <w:rPr>
          <w:rFonts w:eastAsiaTheme="minorEastAsia"/>
          <w:szCs w:val="16"/>
        </w:rPr>
        <w:t xml:space="preserve"> ongeveer</w:t>
      </w:r>
      <w:r>
        <w:rPr>
          <w:rFonts w:eastAsiaTheme="minorEastAsia"/>
          <w:szCs w:val="16"/>
        </w:rPr>
        <w:t xml:space="preserve"> tweemaal zo groot is.</w:t>
      </w:r>
      <w:r w:rsidR="00C272C8">
        <w:rPr>
          <w:rFonts w:eastAsiaTheme="minorEastAsia"/>
          <w:szCs w:val="16"/>
        </w:rPr>
        <w:t xml:space="preserve"> In afbeelding 3</w:t>
      </w:r>
      <w:r w:rsidR="000A6346">
        <w:rPr>
          <w:rFonts w:eastAsiaTheme="minorEastAsia"/>
          <w:szCs w:val="16"/>
        </w:rPr>
        <w:t xml:space="preserve"> Is het verloop van de drainage weerstand aangegeven voor de </w:t>
      </w:r>
      <w:r w:rsidR="00EF45DE">
        <w:rPr>
          <w:rFonts w:eastAsiaTheme="minorEastAsia"/>
          <w:szCs w:val="16"/>
        </w:rPr>
        <w:t>gemeten relatie van Ernst en de logaritmische U/h relatie.</w:t>
      </w:r>
    </w:p>
    <w:p w:rsidR="00EF45DE" w:rsidRDefault="00EF45DE" w:rsidP="00E80592">
      <w:pPr>
        <w:rPr>
          <w:rFonts w:eastAsiaTheme="minorEastAsia"/>
          <w:szCs w:val="16"/>
        </w:rPr>
      </w:pPr>
      <w:r>
        <w:rPr>
          <w:rFonts w:eastAsiaTheme="minorEastAsia"/>
          <w:noProof/>
          <w:szCs w:val="16"/>
        </w:rPr>
        <w:drawing>
          <wp:inline distT="0" distB="0" distL="0" distR="0">
            <wp:extent cx="4926841" cy="2770495"/>
            <wp:effectExtent l="0" t="0" r="762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14012015_00001.bmp"/>
                    <pic:cNvPicPr/>
                  </pic:nvPicPr>
                  <pic:blipFill rotWithShape="1">
                    <a:blip r:embed="rId10" cstate="print">
                      <a:extLst>
                        <a:ext uri="{28A0092B-C50C-407E-A947-70E740481C1C}">
                          <a14:useLocalDpi xmlns:a14="http://schemas.microsoft.com/office/drawing/2010/main" val="0"/>
                        </a:ext>
                      </a:extLst>
                    </a:blip>
                    <a:srcRect t="10002" b="50570"/>
                    <a:stretch/>
                  </pic:blipFill>
                  <pic:spPr bwMode="auto">
                    <a:xfrm>
                      <a:off x="0" y="0"/>
                      <a:ext cx="4928235" cy="2771279"/>
                    </a:xfrm>
                    <a:prstGeom prst="rect">
                      <a:avLst/>
                    </a:prstGeom>
                    <a:ln>
                      <a:noFill/>
                    </a:ln>
                    <a:extLst>
                      <a:ext uri="{53640926-AAD7-44D8-BBD7-CCE9431645EC}">
                        <a14:shadowObscured xmlns:a14="http://schemas.microsoft.com/office/drawing/2010/main"/>
                      </a:ext>
                    </a:extLst>
                  </pic:spPr>
                </pic:pic>
              </a:graphicData>
            </a:graphic>
          </wp:inline>
        </w:drawing>
      </w:r>
    </w:p>
    <w:p w:rsidR="00AF46F2" w:rsidRPr="006B49EB" w:rsidRDefault="006B49EB" w:rsidP="00E80592">
      <w:pPr>
        <w:rPr>
          <w:rFonts w:eastAsiaTheme="minorEastAsia"/>
          <w:b/>
          <w:szCs w:val="16"/>
        </w:rPr>
      </w:pPr>
      <w:r>
        <w:rPr>
          <w:rFonts w:eastAsiaTheme="minorEastAsia"/>
          <w:b/>
          <w:szCs w:val="16"/>
        </w:rPr>
        <w:t xml:space="preserve">Afbeelding 3: </w:t>
      </w:r>
      <w:r w:rsidR="003A5973">
        <w:rPr>
          <w:rFonts w:eastAsiaTheme="minorEastAsia"/>
          <w:szCs w:val="16"/>
        </w:rPr>
        <w:t>H</w:t>
      </w:r>
      <w:r w:rsidRPr="003A5973">
        <w:rPr>
          <w:rFonts w:eastAsiaTheme="minorEastAsia"/>
          <w:szCs w:val="16"/>
        </w:rPr>
        <w:t>et verloop van de drainageweerstand</w:t>
      </w:r>
    </w:p>
    <w:p w:rsidR="003129CF" w:rsidRDefault="003129CF" w:rsidP="00E80592">
      <w:pPr>
        <w:rPr>
          <w:rFonts w:eastAsiaTheme="minorEastAsia"/>
          <w:szCs w:val="16"/>
        </w:rPr>
      </w:pPr>
    </w:p>
    <w:p w:rsidR="00AF46F2" w:rsidRDefault="00AF46F2" w:rsidP="00E80592">
      <w:pPr>
        <w:rPr>
          <w:rFonts w:eastAsiaTheme="minorEastAsia"/>
          <w:szCs w:val="16"/>
        </w:rPr>
      </w:pPr>
      <w:r>
        <w:rPr>
          <w:rFonts w:eastAsiaTheme="minorEastAsia"/>
          <w:szCs w:val="16"/>
        </w:rPr>
        <w:t>De overdrachtsfactor op de drainagebasis, dit is de maximale waarde in het traject waar het drainagesysteem aanwezig is, wordt berekend met:</w:t>
      </w:r>
    </w:p>
    <w:p w:rsidR="00AF46F2" w:rsidRDefault="00AF46F2" w:rsidP="00E80592">
      <w:pPr>
        <w:rPr>
          <w:rFonts w:eastAsiaTheme="minorEastAsia"/>
          <w:szCs w:val="16"/>
        </w:rPr>
      </w:pPr>
    </w:p>
    <w:p w:rsidR="00AF46F2" w:rsidRPr="00AF46F2" w:rsidRDefault="00BF0CF0" w:rsidP="00E80592">
      <w:pPr>
        <w:rPr>
          <w:rFonts w:eastAsiaTheme="minorEastAsia"/>
          <w:szCs w:val="16"/>
        </w:rPr>
      </w:pPr>
      <m:oMathPara>
        <m:oMathParaPr>
          <m:jc m:val="left"/>
        </m:oMathParaPr>
        <m:oMath>
          <m:sSub>
            <m:sSubPr>
              <m:ctrlPr>
                <w:rPr>
                  <w:rFonts w:ascii="Cambria Math" w:hAnsi="Cambria Math"/>
                  <w:i/>
                  <w:szCs w:val="16"/>
                </w:rPr>
              </m:ctrlPr>
            </m:sSubPr>
            <m:e>
              <m:r>
                <w:rPr>
                  <w:rFonts w:ascii="Cambria Math" w:hAnsi="Cambria Math"/>
                  <w:szCs w:val="16"/>
                </w:rPr>
                <m:t>F</m:t>
              </m:r>
            </m:e>
            <m:sub>
              <m:r>
                <w:rPr>
                  <w:rFonts w:ascii="Cambria Math" w:hAnsi="Cambria Math"/>
                  <w:szCs w:val="16"/>
                </w:rPr>
                <m:t>m</m:t>
              </m:r>
            </m:sub>
          </m:sSub>
          <m:r>
            <w:rPr>
              <w:rFonts w:ascii="Cambria Math" w:hAnsi="Cambria Math"/>
              <w:szCs w:val="16"/>
            </w:rPr>
            <m:t>=</m:t>
          </m:r>
          <m:f>
            <m:fPr>
              <m:ctrlPr>
                <w:rPr>
                  <w:rFonts w:ascii="Cambria Math" w:hAnsi="Cambria Math"/>
                  <w:i/>
                  <w:szCs w:val="16"/>
                </w:rPr>
              </m:ctrlPr>
            </m:fPr>
            <m:num>
              <m:r>
                <w:rPr>
                  <w:rFonts w:ascii="Cambria Math" w:hAnsi="Cambria Math"/>
                  <w:szCs w:val="16"/>
                </w:rPr>
                <m:t>1</m:t>
              </m:r>
            </m:num>
            <m:den>
              <m:r>
                <w:rPr>
                  <w:rFonts w:ascii="Cambria Math" w:hAnsi="Cambria Math"/>
                  <w:szCs w:val="16"/>
                </w:rPr>
                <m:t>1+</m:t>
              </m:r>
              <m:sSup>
                <m:sSupPr>
                  <m:ctrlPr>
                    <w:rPr>
                      <w:rFonts w:ascii="Cambria Math" w:hAnsi="Cambria Math"/>
                      <w:i/>
                      <w:szCs w:val="16"/>
                    </w:rPr>
                  </m:ctrlPr>
                </m:sSupPr>
                <m:e>
                  <m:d>
                    <m:dPr>
                      <m:begChr m:val="{"/>
                      <m:endChr m:val="}"/>
                      <m:ctrlPr>
                        <w:rPr>
                          <w:rFonts w:ascii="Cambria Math" w:hAnsi="Cambria Math"/>
                          <w:i/>
                          <w:szCs w:val="16"/>
                        </w:rPr>
                      </m:ctrlPr>
                    </m:dPr>
                    <m:e>
                      <m:r>
                        <w:rPr>
                          <w:rFonts w:ascii="Cambria Math" w:hAnsi="Cambria Math"/>
                          <w:szCs w:val="16"/>
                        </w:rPr>
                        <m:t>exp</m:t>
                      </m:r>
                      <m:d>
                        <m:dPr>
                          <m:ctrlPr>
                            <w:rPr>
                              <w:rFonts w:ascii="Cambria Math" w:hAnsi="Cambria Math"/>
                              <w:i/>
                              <w:szCs w:val="16"/>
                            </w:rPr>
                          </m:ctrlPr>
                        </m:dPr>
                        <m:e>
                          <m:r>
                            <w:rPr>
                              <w:rFonts w:ascii="Cambria Math" w:hAnsi="Cambria Math"/>
                              <w:szCs w:val="16"/>
                            </w:rPr>
                            <m:t>-</m:t>
                          </m:r>
                          <m:f>
                            <m:fPr>
                              <m:ctrlPr>
                                <w:rPr>
                                  <w:rFonts w:ascii="Cambria Math" w:hAnsi="Cambria Math"/>
                                  <w:i/>
                                  <w:szCs w:val="16"/>
                                </w:rPr>
                              </m:ctrlPr>
                            </m:fPr>
                            <m:num>
                              <m:r>
                                <w:rPr>
                                  <w:rFonts w:ascii="Cambria Math" w:hAnsi="Cambria Math"/>
                                  <w:szCs w:val="16"/>
                                </w:rPr>
                                <m:t>c</m:t>
                              </m:r>
                            </m:num>
                            <m:den>
                              <m:r>
                                <w:rPr>
                                  <w:rFonts w:ascii="Cambria Math" w:hAnsi="Cambria Math"/>
                                  <w:szCs w:val="16"/>
                                </w:rPr>
                                <m:t>2a</m:t>
                              </m:r>
                            </m:den>
                          </m:f>
                          <m:r>
                            <w:rPr>
                              <w:rFonts w:ascii="Cambria Math" w:hAnsi="Cambria Math"/>
                              <w:szCs w:val="16"/>
                            </w:rPr>
                            <m:t>j</m:t>
                          </m:r>
                        </m:e>
                      </m:d>
                    </m:e>
                  </m:d>
                </m:e>
                <m:sup>
                  <m:r>
                    <w:rPr>
                      <w:rFonts w:ascii="Cambria Math" w:hAnsi="Cambria Math"/>
                      <w:szCs w:val="16"/>
                    </w:rPr>
                    <m:t>-1</m:t>
                  </m:r>
                </m:sup>
              </m:sSup>
            </m:den>
          </m:f>
          <m:r>
            <w:rPr>
              <w:rFonts w:ascii="Cambria Math" w:hAnsi="Cambria Math"/>
              <w:szCs w:val="16"/>
            </w:rPr>
            <m:t>=0,924</m:t>
          </m:r>
        </m:oMath>
      </m:oMathPara>
    </w:p>
    <w:p w:rsidR="00AF46F2" w:rsidRDefault="00AF46F2" w:rsidP="00E80592">
      <w:pPr>
        <w:rPr>
          <w:rFonts w:eastAsiaTheme="minorEastAsia"/>
          <w:szCs w:val="16"/>
        </w:rPr>
      </w:pPr>
    </w:p>
    <w:p w:rsidR="0094039B" w:rsidRDefault="0094039B" w:rsidP="00E80592">
      <w:pPr>
        <w:rPr>
          <w:rFonts w:eastAsiaTheme="minorEastAsia"/>
          <w:szCs w:val="16"/>
        </w:rPr>
      </w:pPr>
      <w:r>
        <w:rPr>
          <w:rFonts w:eastAsiaTheme="minorEastAsia"/>
          <w:szCs w:val="16"/>
        </w:rPr>
        <w:t>Zoals eerder gesteld is de overdrachtsfactor voor diepere grondwaterstanden, dus waar geen drainagesysteem meer aanwezig is, gelijk aan de waarde 1.</w:t>
      </w:r>
      <w:r w:rsidR="00EF45DE">
        <w:rPr>
          <w:rFonts w:eastAsiaTheme="minorEastAsia"/>
          <w:szCs w:val="16"/>
        </w:rPr>
        <w:t xml:space="preserve"> In afbeeldin</w:t>
      </w:r>
      <w:r w:rsidR="006B49EB">
        <w:rPr>
          <w:rFonts w:eastAsiaTheme="minorEastAsia"/>
          <w:szCs w:val="16"/>
        </w:rPr>
        <w:t>g 4</w:t>
      </w:r>
      <w:r w:rsidR="00EF45DE">
        <w:rPr>
          <w:rFonts w:eastAsiaTheme="minorEastAsia"/>
          <w:szCs w:val="16"/>
        </w:rPr>
        <w:t xml:space="preserve"> Is het</w:t>
      </w:r>
      <w:r w:rsidR="003129CF">
        <w:rPr>
          <w:rFonts w:eastAsiaTheme="minorEastAsia"/>
          <w:szCs w:val="16"/>
        </w:rPr>
        <w:t xml:space="preserve"> hyperbolische</w:t>
      </w:r>
      <w:r w:rsidR="00EF45DE">
        <w:rPr>
          <w:rFonts w:eastAsiaTheme="minorEastAsia"/>
          <w:szCs w:val="16"/>
        </w:rPr>
        <w:t xml:space="preserve"> verloop van de  overd</w:t>
      </w:r>
      <w:r w:rsidR="003129CF">
        <w:rPr>
          <w:rFonts w:eastAsiaTheme="minorEastAsia"/>
          <w:szCs w:val="16"/>
        </w:rPr>
        <w:t>rachtsfactor aangegeven voor</w:t>
      </w:r>
      <w:r w:rsidR="006B49EB">
        <w:rPr>
          <w:rFonts w:eastAsiaTheme="minorEastAsia"/>
          <w:szCs w:val="16"/>
        </w:rPr>
        <w:t xml:space="preserve"> de </w:t>
      </w:r>
      <w:r w:rsidR="003129CF">
        <w:rPr>
          <w:rFonts w:eastAsiaTheme="minorEastAsia"/>
          <w:szCs w:val="16"/>
        </w:rPr>
        <w:t xml:space="preserve"> logaritmische U/h relatie</w:t>
      </w:r>
      <w:r w:rsidR="006B49EB">
        <w:rPr>
          <w:rFonts w:eastAsiaTheme="minorEastAsia"/>
          <w:szCs w:val="16"/>
        </w:rPr>
        <w:t xml:space="preserve"> die is gefit op de gemeten relatie van Ernst</w:t>
      </w:r>
      <w:r w:rsidR="003129CF">
        <w:rPr>
          <w:rFonts w:eastAsiaTheme="minorEastAsia"/>
          <w:szCs w:val="16"/>
        </w:rPr>
        <w:t>.</w:t>
      </w:r>
    </w:p>
    <w:p w:rsidR="003129CF" w:rsidRDefault="003129CF" w:rsidP="00E80592">
      <w:pPr>
        <w:rPr>
          <w:rFonts w:eastAsiaTheme="minorEastAsia"/>
          <w:szCs w:val="16"/>
        </w:rPr>
      </w:pPr>
    </w:p>
    <w:p w:rsidR="003129CF" w:rsidRDefault="003129CF" w:rsidP="00E80592">
      <w:pPr>
        <w:rPr>
          <w:rFonts w:eastAsiaTheme="minorEastAsia"/>
          <w:szCs w:val="16"/>
        </w:rPr>
      </w:pPr>
      <w:r>
        <w:rPr>
          <w:rFonts w:eastAsiaTheme="minorEastAsia"/>
          <w:noProof/>
          <w:szCs w:val="16"/>
        </w:rPr>
        <w:drawing>
          <wp:inline distT="0" distB="0" distL="0" distR="0">
            <wp:extent cx="4926841" cy="2674961"/>
            <wp:effectExtent l="0" t="0" r="762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14012015_00002.bmp"/>
                    <pic:cNvPicPr/>
                  </pic:nvPicPr>
                  <pic:blipFill rotWithShape="1">
                    <a:blip r:embed="rId11" cstate="print">
                      <a:extLst>
                        <a:ext uri="{28A0092B-C50C-407E-A947-70E740481C1C}">
                          <a14:useLocalDpi xmlns:a14="http://schemas.microsoft.com/office/drawing/2010/main" val="0"/>
                        </a:ext>
                      </a:extLst>
                    </a:blip>
                    <a:srcRect t="11167" b="50765"/>
                    <a:stretch/>
                  </pic:blipFill>
                  <pic:spPr bwMode="auto">
                    <a:xfrm>
                      <a:off x="0" y="0"/>
                      <a:ext cx="4928235" cy="2675718"/>
                    </a:xfrm>
                    <a:prstGeom prst="rect">
                      <a:avLst/>
                    </a:prstGeom>
                    <a:ln>
                      <a:noFill/>
                    </a:ln>
                    <a:extLst>
                      <a:ext uri="{53640926-AAD7-44D8-BBD7-CCE9431645EC}">
                        <a14:shadowObscured xmlns:a14="http://schemas.microsoft.com/office/drawing/2010/main"/>
                      </a:ext>
                    </a:extLst>
                  </pic:spPr>
                </pic:pic>
              </a:graphicData>
            </a:graphic>
          </wp:inline>
        </w:drawing>
      </w:r>
    </w:p>
    <w:p w:rsidR="003129CF" w:rsidRPr="006B49EB" w:rsidRDefault="006B49EB" w:rsidP="00E80592">
      <w:pPr>
        <w:rPr>
          <w:rFonts w:eastAsiaTheme="minorEastAsia"/>
          <w:b/>
          <w:szCs w:val="16"/>
        </w:rPr>
      </w:pPr>
      <w:r>
        <w:rPr>
          <w:rFonts w:eastAsiaTheme="minorEastAsia"/>
          <w:b/>
          <w:szCs w:val="16"/>
        </w:rPr>
        <w:t xml:space="preserve">Afbeelding 4: </w:t>
      </w:r>
      <w:r w:rsidRPr="003A5973">
        <w:rPr>
          <w:rFonts w:eastAsiaTheme="minorEastAsia"/>
          <w:szCs w:val="16"/>
        </w:rPr>
        <w:t>Het verloop van de overdrachtsfactor</w:t>
      </w:r>
    </w:p>
    <w:p w:rsidR="003129CF" w:rsidRDefault="003129CF" w:rsidP="00E80592">
      <w:pPr>
        <w:rPr>
          <w:rFonts w:eastAsiaTheme="minorEastAsia"/>
          <w:szCs w:val="16"/>
        </w:rPr>
      </w:pPr>
    </w:p>
    <w:p w:rsidR="00991147" w:rsidRDefault="00991147" w:rsidP="00E80592">
      <w:pPr>
        <w:rPr>
          <w:rFonts w:eastAsiaTheme="minorEastAsia"/>
          <w:szCs w:val="16"/>
        </w:rPr>
      </w:pPr>
      <w:r>
        <w:rPr>
          <w:rFonts w:eastAsiaTheme="minorEastAsia"/>
          <w:szCs w:val="16"/>
        </w:rPr>
        <w:t>Gesteld kan worden dat voor grondwaterstanden tot 1.50 of 1,60 meter minus maaiveld de logaritmische en de gemeten</w:t>
      </w:r>
      <w:r w:rsidR="006B49EB">
        <w:rPr>
          <w:rFonts w:eastAsiaTheme="minorEastAsia"/>
          <w:szCs w:val="16"/>
        </w:rPr>
        <w:t xml:space="preserve"> U/h</w:t>
      </w:r>
      <w:r>
        <w:rPr>
          <w:rFonts w:eastAsiaTheme="minorEastAsia"/>
          <w:szCs w:val="16"/>
        </w:rPr>
        <w:t xml:space="preserve"> relatie elkaar vrijwel exact dekken</w:t>
      </w:r>
      <w:r w:rsidR="00785E87">
        <w:rPr>
          <w:rFonts w:eastAsiaTheme="minorEastAsia"/>
          <w:szCs w:val="16"/>
        </w:rPr>
        <w:t>, dus bij gebruik van deze</w:t>
      </w:r>
      <w:r>
        <w:rPr>
          <w:rFonts w:eastAsiaTheme="minorEastAsia"/>
          <w:szCs w:val="16"/>
        </w:rPr>
        <w:t xml:space="preserve"> relaties in bijvoorbeeld</w:t>
      </w:r>
      <w:r w:rsidR="00785E87">
        <w:rPr>
          <w:rFonts w:eastAsiaTheme="minorEastAsia"/>
          <w:szCs w:val="16"/>
        </w:rPr>
        <w:t xml:space="preserve"> de</w:t>
      </w:r>
      <w:r>
        <w:rPr>
          <w:rFonts w:eastAsiaTheme="minorEastAsia"/>
          <w:szCs w:val="16"/>
        </w:rPr>
        <w:t xml:space="preserve"> berekening van verlagingen</w:t>
      </w:r>
      <w:r w:rsidR="00785E87">
        <w:rPr>
          <w:rFonts w:eastAsiaTheme="minorEastAsia"/>
          <w:szCs w:val="16"/>
        </w:rPr>
        <w:t xml:space="preserve"> als gevolg van een grondwateronttrekking uit het diepe pakket zal eenzelfde resultaat worden gevonden tot op het niveau van ongeveer de GLG. Het zal dus niet uitmaken of daarvoor de analytische oplossing wordt gebruikt uit Van den Akker (2013) of een numeriek model dat gebruik maakt van drainageweerstanden.</w:t>
      </w:r>
      <w:r>
        <w:rPr>
          <w:rFonts w:eastAsiaTheme="minorEastAsia"/>
          <w:szCs w:val="16"/>
        </w:rPr>
        <w:t xml:space="preserve"> </w:t>
      </w:r>
    </w:p>
    <w:p w:rsidR="00BB71F9" w:rsidRPr="00AF46F2" w:rsidRDefault="00BB71F9" w:rsidP="00E80592">
      <w:pPr>
        <w:rPr>
          <w:rFonts w:eastAsiaTheme="minorEastAsia"/>
          <w:szCs w:val="16"/>
        </w:rPr>
      </w:pPr>
      <w:r>
        <w:rPr>
          <w:rFonts w:eastAsiaTheme="minorEastAsia"/>
          <w:szCs w:val="16"/>
        </w:rPr>
        <w:t>Het bovenstaande leert</w:t>
      </w:r>
      <w:r w:rsidR="00785E87">
        <w:rPr>
          <w:rFonts w:eastAsiaTheme="minorEastAsia"/>
          <w:szCs w:val="16"/>
        </w:rPr>
        <w:t xml:space="preserve"> eveneens</w:t>
      </w:r>
      <w:r>
        <w:rPr>
          <w:rFonts w:eastAsiaTheme="minorEastAsia"/>
          <w:szCs w:val="16"/>
        </w:rPr>
        <w:t xml:space="preserve"> dat de loga</w:t>
      </w:r>
      <w:r w:rsidR="00785E87">
        <w:rPr>
          <w:rFonts w:eastAsiaTheme="minorEastAsia"/>
          <w:szCs w:val="16"/>
        </w:rPr>
        <w:t>ritmische U/h relatie voor</w:t>
      </w:r>
      <w:r>
        <w:rPr>
          <w:rFonts w:eastAsiaTheme="minorEastAsia"/>
          <w:szCs w:val="16"/>
        </w:rPr>
        <w:t xml:space="preserve"> grondwaterstanden</w:t>
      </w:r>
      <w:r w:rsidR="004662DD">
        <w:rPr>
          <w:rFonts w:eastAsiaTheme="minorEastAsia"/>
          <w:szCs w:val="16"/>
        </w:rPr>
        <w:t>, die liggen onder de GLG, een kleinere verlaging van de freatische grondwaterstand oplevert dan</w:t>
      </w:r>
      <w:r w:rsidR="00BD794B">
        <w:rPr>
          <w:rFonts w:eastAsiaTheme="minorEastAsia"/>
          <w:szCs w:val="16"/>
        </w:rPr>
        <w:t xml:space="preserve"> de berekende  verlaging</w:t>
      </w:r>
      <w:r w:rsidR="004662DD">
        <w:rPr>
          <w:rFonts w:eastAsiaTheme="minorEastAsia"/>
          <w:szCs w:val="16"/>
        </w:rPr>
        <w:t xml:space="preserve"> met de relatie van Ernst in het geval grondwater wordt onttrokken uit het diepe pakket.</w:t>
      </w:r>
    </w:p>
    <w:p w:rsidR="00BD794B" w:rsidRDefault="004662DD" w:rsidP="00E80592">
      <w:pPr>
        <w:rPr>
          <w:rFonts w:eastAsiaTheme="minorEastAsia"/>
          <w:szCs w:val="16"/>
        </w:rPr>
      </w:pPr>
      <w:r>
        <w:rPr>
          <w:rFonts w:eastAsiaTheme="minorEastAsia"/>
          <w:szCs w:val="16"/>
        </w:rPr>
        <w:t>Bedacht moet worden dat</w:t>
      </w:r>
      <w:r w:rsidR="006A52C6">
        <w:rPr>
          <w:rFonts w:eastAsiaTheme="minorEastAsia"/>
          <w:szCs w:val="16"/>
        </w:rPr>
        <w:t>,</w:t>
      </w:r>
      <w:r>
        <w:rPr>
          <w:rFonts w:eastAsiaTheme="minorEastAsia"/>
          <w:szCs w:val="16"/>
        </w:rPr>
        <w:t xml:space="preserve"> voor de o</w:t>
      </w:r>
      <w:r w:rsidR="006A52C6">
        <w:rPr>
          <w:rFonts w:eastAsiaTheme="minorEastAsia"/>
          <w:szCs w:val="16"/>
        </w:rPr>
        <w:t xml:space="preserve">nderbouwing van de hypothese van </w:t>
      </w:r>
      <w:r>
        <w:rPr>
          <w:rFonts w:eastAsiaTheme="minorEastAsia"/>
          <w:szCs w:val="16"/>
        </w:rPr>
        <w:t xml:space="preserve"> de</w:t>
      </w:r>
      <w:r w:rsidR="006A52C6">
        <w:rPr>
          <w:rFonts w:eastAsiaTheme="minorEastAsia"/>
          <w:szCs w:val="16"/>
        </w:rPr>
        <w:t xml:space="preserve"> hyperbolische</w:t>
      </w:r>
      <w:r>
        <w:rPr>
          <w:rFonts w:eastAsiaTheme="minorEastAsia"/>
          <w:szCs w:val="16"/>
        </w:rPr>
        <w:t xml:space="preserve"> over</w:t>
      </w:r>
      <w:r w:rsidR="006A52C6">
        <w:rPr>
          <w:rFonts w:eastAsiaTheme="minorEastAsia"/>
          <w:szCs w:val="16"/>
        </w:rPr>
        <w:t>drachtsfactor,</w:t>
      </w:r>
      <w:r>
        <w:rPr>
          <w:rFonts w:eastAsiaTheme="minorEastAsia"/>
          <w:szCs w:val="16"/>
        </w:rPr>
        <w:t xml:space="preserve"> slechts gebruik is gemaakt van </w:t>
      </w:r>
      <w:r w:rsidR="00B93E0B">
        <w:rPr>
          <w:rFonts w:eastAsiaTheme="minorEastAsia"/>
          <w:szCs w:val="16"/>
        </w:rPr>
        <w:t>één gemeten relatie uit Ernst (1971). Het is uiteraard noodzakelijk dat aan meerdere gemeten relaties moet worden getoetst wil</w:t>
      </w:r>
      <w:r w:rsidR="00BD794B">
        <w:rPr>
          <w:rFonts w:eastAsiaTheme="minorEastAsia"/>
          <w:szCs w:val="16"/>
        </w:rPr>
        <w:t xml:space="preserve"> er</w:t>
      </w:r>
      <w:r w:rsidR="00B93E0B">
        <w:rPr>
          <w:rFonts w:eastAsiaTheme="minorEastAsia"/>
          <w:szCs w:val="16"/>
        </w:rPr>
        <w:t xml:space="preserve"> van een algemene geldigheid gesproken kunnen worden.</w:t>
      </w:r>
      <w:r w:rsidR="005B6B2C">
        <w:rPr>
          <w:rFonts w:eastAsiaTheme="minorEastAsia"/>
          <w:szCs w:val="16"/>
        </w:rPr>
        <w:t xml:space="preserve"> Met algemene geldigheid wordt hier bedoeld dat in vrij afwaterende gebieden met een bodemopbouw zoals in dit artikel is aangegeven de U/h relatie goed kan worden gekarakteriseerd met een logaritmisch verloop. D</w:t>
      </w:r>
      <w:r w:rsidR="00B93E0B">
        <w:rPr>
          <w:rFonts w:eastAsiaTheme="minorEastAsia"/>
          <w:szCs w:val="16"/>
        </w:rPr>
        <w:t xml:space="preserve">e vergelijking met de gemeten relatie </w:t>
      </w:r>
      <w:r w:rsidR="003F3B0A">
        <w:rPr>
          <w:rFonts w:eastAsiaTheme="minorEastAsia"/>
          <w:szCs w:val="16"/>
        </w:rPr>
        <w:t>uit Ernst (1971) levert een</w:t>
      </w:r>
      <w:r w:rsidR="00B93E0B">
        <w:rPr>
          <w:rFonts w:eastAsiaTheme="minorEastAsia"/>
          <w:szCs w:val="16"/>
        </w:rPr>
        <w:t xml:space="preserve"> goed resultaat. De ontwikkelde differentiaalvergelijking in Van den Akker (2</w:t>
      </w:r>
      <w:r w:rsidR="006A52C6">
        <w:rPr>
          <w:rFonts w:eastAsiaTheme="minorEastAsia"/>
          <w:szCs w:val="16"/>
        </w:rPr>
        <w:t>013)</w:t>
      </w:r>
      <w:r w:rsidR="009A6FBD">
        <w:rPr>
          <w:rFonts w:eastAsiaTheme="minorEastAsia"/>
          <w:szCs w:val="16"/>
        </w:rPr>
        <w:t>, op basis van de hyperbolische overdrachtsfactor,</w:t>
      </w:r>
      <w:r w:rsidR="006B49EB">
        <w:rPr>
          <w:rFonts w:eastAsiaTheme="minorEastAsia"/>
          <w:szCs w:val="16"/>
        </w:rPr>
        <w:t xml:space="preserve"> geeft daarom een redelijk</w:t>
      </w:r>
      <w:r w:rsidR="00B93E0B">
        <w:rPr>
          <w:rFonts w:eastAsiaTheme="minorEastAsia"/>
          <w:szCs w:val="16"/>
        </w:rPr>
        <w:t xml:space="preserve"> resultaat voor de bepaling van de verlagingen van de stijghoogte en de freatische grondwaterstand door een</w:t>
      </w:r>
      <w:r w:rsidR="006A52C6">
        <w:rPr>
          <w:rFonts w:eastAsiaTheme="minorEastAsia"/>
          <w:szCs w:val="16"/>
        </w:rPr>
        <w:t xml:space="preserve"> stationaire</w:t>
      </w:r>
      <w:r w:rsidR="00B93E0B">
        <w:rPr>
          <w:rFonts w:eastAsiaTheme="minorEastAsia"/>
          <w:szCs w:val="16"/>
        </w:rPr>
        <w:t xml:space="preserve"> o</w:t>
      </w:r>
      <w:r w:rsidR="006A52C6">
        <w:rPr>
          <w:rFonts w:eastAsiaTheme="minorEastAsia"/>
          <w:szCs w:val="16"/>
        </w:rPr>
        <w:t>nttrekking uit het diepe pakket, uiteraard binnen de beschouwde geohydrologische schematisering en gedane aannames.</w:t>
      </w:r>
      <w:r w:rsidR="00333C2A">
        <w:rPr>
          <w:rFonts w:eastAsiaTheme="minorEastAsia"/>
          <w:szCs w:val="16"/>
        </w:rPr>
        <w:t xml:space="preserve"> Indien een redelijke schatting of meting voorhanden is met betrekking tot</w:t>
      </w:r>
      <w:r w:rsidR="001C0054">
        <w:rPr>
          <w:rFonts w:eastAsiaTheme="minorEastAsia"/>
          <w:szCs w:val="16"/>
        </w:rPr>
        <w:t xml:space="preserve"> de hydraulische weerstand, de diepte van de drainagebasis en de grootte van de oppervlaktewaterafvoer per eenheidsoppervlak voor de</w:t>
      </w:r>
      <w:r w:rsidR="006E4D7B">
        <w:rPr>
          <w:rFonts w:eastAsiaTheme="minorEastAsia"/>
          <w:szCs w:val="16"/>
        </w:rPr>
        <w:t xml:space="preserve"> gebiedsgemiddelde</w:t>
      </w:r>
      <w:r w:rsidR="001C0054">
        <w:rPr>
          <w:rFonts w:eastAsiaTheme="minorEastAsia"/>
          <w:szCs w:val="16"/>
        </w:rPr>
        <w:t xml:space="preserve"> grondwaterstand</w:t>
      </w:r>
      <w:r w:rsidR="006F68FB">
        <w:rPr>
          <w:rFonts w:eastAsiaTheme="minorEastAsia"/>
          <w:szCs w:val="16"/>
        </w:rPr>
        <w:t xml:space="preserve"> waarvoor de overdrachtsfactor 0</w:t>
      </w:r>
      <w:r w:rsidR="001C0054">
        <w:rPr>
          <w:rFonts w:eastAsiaTheme="minorEastAsia"/>
          <w:szCs w:val="16"/>
        </w:rPr>
        <w:t xml:space="preserve"> wordt, kan met behulp van vergelijking 9 de waarde van </w:t>
      </w:r>
      <w:r w:rsidR="001C0054">
        <w:rPr>
          <w:rFonts w:eastAsiaTheme="minorEastAsia"/>
          <w:i/>
          <w:szCs w:val="16"/>
        </w:rPr>
        <w:t>a</w:t>
      </w:r>
      <w:r w:rsidR="001C0054">
        <w:rPr>
          <w:rFonts w:eastAsiaTheme="minorEastAsia"/>
          <w:szCs w:val="16"/>
        </w:rPr>
        <w:t xml:space="preserve"> worden berekend.</w:t>
      </w:r>
    </w:p>
    <w:p w:rsidR="006D20F7" w:rsidRDefault="006D20F7" w:rsidP="00E80592">
      <w:pPr>
        <w:rPr>
          <w:rFonts w:eastAsiaTheme="minorEastAsia"/>
          <w:szCs w:val="16"/>
        </w:rPr>
      </w:pPr>
    </w:p>
    <w:p w:rsidR="006D20F7" w:rsidRDefault="006D20F7" w:rsidP="006D20F7">
      <w:pPr>
        <w:pStyle w:val="Kop2"/>
      </w:pPr>
      <w:r>
        <w:t>Verlagingen als gevolg van een onttrekking</w:t>
      </w:r>
    </w:p>
    <w:p w:rsidR="006D20F7" w:rsidRDefault="006D20F7" w:rsidP="006D20F7"/>
    <w:p w:rsidR="006D20F7" w:rsidRDefault="006D20F7" w:rsidP="006D20F7">
      <w:r>
        <w:t>In Van den Akker (2013) is de vergelijking afgeleid voor de berekening van de verlaging van de grondwaterstand en stijghoogte als gevolg van een onttrekking door middel van een volkomen put uit het pakket met gedeeltelijk afgesloten grondwater. Er is aangenomen dat er een niet-lineaire relatie geldt tussen de gebiedsgemiddelde grondwaterstand en de afvoer per eenheidsoppervlak, waarbij wordt uitgegaan van de hyperbolische overdrachtsfactor uit vergelijking 6.</w:t>
      </w:r>
    </w:p>
    <w:p w:rsidR="00372867" w:rsidRDefault="00D80371" w:rsidP="006D20F7">
      <w:r>
        <w:t>Hieruit volgt</w:t>
      </w:r>
      <w:r w:rsidR="00372867">
        <w:t>, Van den Akker (2013)</w:t>
      </w:r>
      <w:r>
        <w:t>,</w:t>
      </w:r>
      <w:r w:rsidR="00372867">
        <w:t xml:space="preserve"> dat:</w:t>
      </w:r>
    </w:p>
    <w:p w:rsidR="00372867" w:rsidRDefault="00372867" w:rsidP="006D20F7"/>
    <w:p w:rsidR="006D20F7" w:rsidRPr="00372867" w:rsidRDefault="00372867" w:rsidP="006D20F7">
      <m:oMathPara>
        <m:oMathParaPr>
          <m:jc m:val="left"/>
        </m:oMathParaPr>
        <m:oMath>
          <m:r>
            <w:rPr>
              <w:rFonts w:ascii="Cambria Math" w:hAnsi="Cambria Math"/>
            </w:rPr>
            <m:t>φ=h-</m:t>
          </m:r>
          <m:sSub>
            <m:sSubPr>
              <m:ctrlPr>
                <w:rPr>
                  <w:rFonts w:ascii="Cambria Math" w:hAnsi="Cambria Math"/>
                  <w:i/>
                </w:rPr>
              </m:ctrlPr>
            </m:sSubPr>
            <m:e>
              <m:r>
                <w:rPr>
                  <w:rFonts w:ascii="Cambria Math" w:hAnsi="Cambria Math"/>
                </w:rPr>
                <m:t>m</m:t>
              </m:r>
            </m:e>
            <m:sub>
              <m:r>
                <w:rPr>
                  <w:rFonts w:ascii="Cambria Math" w:hAnsi="Cambria Math"/>
                </w:rPr>
                <m:t>v</m:t>
              </m:r>
            </m:sub>
          </m:sSub>
          <m:r>
            <w:rPr>
              <w:rFonts w:ascii="Cambria Math" w:hAnsi="Cambria Math"/>
            </w:rPr>
            <m:t>-b+a ln</m:t>
          </m:r>
          <m:d>
            <m:dPr>
              <m:ctrlPr>
                <w:rPr>
                  <w:rFonts w:ascii="Cambria Math" w:hAnsi="Cambria Math"/>
                  <w:i/>
                </w:rPr>
              </m:ctrlPr>
            </m:dPr>
            <m:e>
              <m:r>
                <w:rPr>
                  <w:rFonts w:ascii="Cambria Math" w:hAnsi="Cambria Math"/>
                </w:rPr>
                <m:t>-h+</m:t>
              </m:r>
              <m:sSub>
                <m:sSubPr>
                  <m:ctrlPr>
                    <w:rPr>
                      <w:rFonts w:ascii="Cambria Math" w:hAnsi="Cambria Math"/>
                      <w:i/>
                    </w:rPr>
                  </m:ctrlPr>
                </m:sSubPr>
                <m:e>
                  <m:r>
                    <w:rPr>
                      <w:rFonts w:ascii="Cambria Math" w:hAnsi="Cambria Math"/>
                    </w:rPr>
                    <m:t>m</m:t>
                  </m:r>
                </m:e>
                <m:sub>
                  <m:r>
                    <w:rPr>
                      <w:rFonts w:ascii="Cambria Math" w:hAnsi="Cambria Math"/>
                    </w:rPr>
                    <m:t>v</m:t>
                  </m:r>
                </m:sub>
              </m:sSub>
              <m:r>
                <w:rPr>
                  <w:rFonts w:ascii="Cambria Math" w:hAnsi="Cambria Math"/>
                </w:rPr>
                <m:t>+b</m:t>
              </m:r>
            </m:e>
          </m:d>
          <m:r>
            <w:rPr>
              <w:rFonts w:ascii="Cambria Math" w:hAnsi="Cambria Math"/>
            </w:rPr>
            <m:t xml:space="preserve">+C1                                                                                                                              (16) </m:t>
          </m:r>
        </m:oMath>
      </m:oMathPara>
    </w:p>
    <w:p w:rsidR="00372867" w:rsidRDefault="00372867" w:rsidP="006D20F7"/>
    <w:p w:rsidR="005414EF" w:rsidRDefault="00D80371" w:rsidP="005414EF">
      <w:pPr>
        <w:pStyle w:val="Textbody"/>
        <w:rPr>
          <w:rFonts w:ascii="Lucida Sans" w:hAnsi="Lucida Sans"/>
          <w:sz w:val="22"/>
          <w:szCs w:val="22"/>
        </w:rPr>
      </w:pPr>
      <w:r>
        <w:rPr>
          <w:rFonts w:ascii="Lucida Sans" w:hAnsi="Lucida Sans"/>
          <w:sz w:val="16"/>
          <w:szCs w:val="16"/>
        </w:rPr>
        <w:t>Daarmee kan worden afgeleid dat</w:t>
      </w:r>
      <w:r w:rsidR="005414EF" w:rsidRPr="005414EF">
        <w:rPr>
          <w:rFonts w:ascii="Lucida Sans" w:hAnsi="Lucida Sans"/>
          <w:sz w:val="22"/>
          <w:szCs w:val="22"/>
        </w:rPr>
        <w:t xml:space="preserve"> </w:t>
      </w:r>
    </w:p>
    <w:p w:rsidR="005414EF" w:rsidRDefault="00BF0CF0" w:rsidP="00456321">
      <w:pPr>
        <w:jc w:val="center"/>
        <w:rPr>
          <w:rFonts w:ascii="Cambria Math" w:hAnsi="Cambria Math"/>
        </w:rPr>
      </w:pPr>
      <m:oMath>
        <m:f>
          <m:fPr>
            <m:ctrlPr>
              <w:rPr>
                <w:rFonts w:ascii="Cambria Math" w:hAnsi="Cambria Math"/>
                <w:i/>
                <w:kern w:val="3"/>
                <w:sz w:val="22"/>
                <w:szCs w:val="22"/>
                <w:lang w:eastAsia="en-US"/>
              </w:rPr>
            </m:ctrlPr>
          </m:fPr>
          <m:num>
            <m:sSup>
              <m:sSupPr>
                <m:ctrlPr>
                  <w:rPr>
                    <w:rFonts w:ascii="Cambria Math" w:hAnsi="Cambria Math"/>
                    <w:i/>
                    <w:kern w:val="3"/>
                    <w:sz w:val="22"/>
                    <w:szCs w:val="22"/>
                    <w:lang w:eastAsia="en-US"/>
                  </w:rPr>
                </m:ctrlPr>
              </m:sSupPr>
              <m:e>
                <m:r>
                  <w:rPr>
                    <w:rFonts w:ascii="Cambria Math" w:hAnsi="Cambria Math"/>
                    <w:sz w:val="22"/>
                    <w:szCs w:val="22"/>
                  </w:rPr>
                  <m:t>d</m:t>
                </m:r>
              </m:e>
              <m:sup>
                <m:r>
                  <w:rPr>
                    <w:rFonts w:ascii="Cambria Math" w:hAnsi="Cambria Math"/>
                    <w:sz w:val="22"/>
                    <w:szCs w:val="22"/>
                  </w:rPr>
                  <m:t>2</m:t>
                </m:r>
              </m:sup>
            </m:sSup>
            <m:r>
              <w:rPr>
                <w:rFonts w:ascii="Cambria Math" w:hAnsi="Cambria Math"/>
                <w:sz w:val="22"/>
                <w:szCs w:val="22"/>
              </w:rPr>
              <m:t>φ</m:t>
            </m:r>
          </m:num>
          <m:den>
            <m:r>
              <w:rPr>
                <w:rFonts w:ascii="Cambria Math" w:hAnsi="Cambria Math"/>
                <w:sz w:val="22"/>
                <w:szCs w:val="22"/>
              </w:rPr>
              <m:t>d</m:t>
            </m:r>
            <m:sSup>
              <m:sSupPr>
                <m:ctrlPr>
                  <w:rPr>
                    <w:rFonts w:ascii="Cambria Math" w:hAnsi="Cambria Math"/>
                    <w:i/>
                    <w:kern w:val="3"/>
                    <w:sz w:val="22"/>
                    <w:szCs w:val="22"/>
                    <w:lang w:eastAsia="en-US"/>
                  </w:rPr>
                </m:ctrlPr>
              </m:sSupPr>
              <m:e>
                <m:r>
                  <w:rPr>
                    <w:rFonts w:ascii="Cambria Math" w:hAnsi="Cambria Math"/>
                    <w:sz w:val="22"/>
                    <w:szCs w:val="22"/>
                  </w:rPr>
                  <m:t>r</m:t>
                </m:r>
              </m:e>
              <m:sup>
                <m:r>
                  <w:rPr>
                    <w:rFonts w:ascii="Cambria Math" w:hAnsi="Cambria Math"/>
                    <w:sz w:val="22"/>
                    <w:szCs w:val="22"/>
                  </w:rPr>
                  <m:t>2</m:t>
                </m:r>
              </m:sup>
            </m:sSup>
          </m:den>
        </m:f>
        <m:r>
          <w:rPr>
            <w:rFonts w:ascii="Cambria Math" w:hAnsi="Cambria Math"/>
            <w:sz w:val="22"/>
            <w:szCs w:val="22"/>
          </w:rPr>
          <m:t>+</m:t>
        </m:r>
        <m:f>
          <m:fPr>
            <m:ctrlPr>
              <w:rPr>
                <w:rFonts w:ascii="Cambria Math" w:hAnsi="Cambria Math"/>
                <w:i/>
                <w:kern w:val="3"/>
                <w:sz w:val="22"/>
                <w:szCs w:val="22"/>
                <w:lang w:eastAsia="en-US"/>
              </w:rPr>
            </m:ctrlPr>
          </m:fPr>
          <m:num>
            <m:r>
              <w:rPr>
                <w:rFonts w:ascii="Cambria Math" w:hAnsi="Cambria Math"/>
                <w:sz w:val="22"/>
                <w:szCs w:val="22"/>
              </w:rPr>
              <m:t>1</m:t>
            </m:r>
          </m:num>
          <m:den>
            <m:r>
              <w:rPr>
                <w:rFonts w:ascii="Cambria Math" w:hAnsi="Cambria Math"/>
                <w:sz w:val="22"/>
                <w:szCs w:val="22"/>
              </w:rPr>
              <m:t>r</m:t>
            </m:r>
          </m:den>
        </m:f>
        <m:f>
          <m:fPr>
            <m:ctrlPr>
              <w:rPr>
                <w:rFonts w:ascii="Cambria Math" w:hAnsi="Cambria Math"/>
                <w:i/>
                <w:kern w:val="3"/>
                <w:sz w:val="22"/>
                <w:szCs w:val="22"/>
                <w:lang w:eastAsia="en-US"/>
              </w:rPr>
            </m:ctrlPr>
          </m:fPr>
          <m:num>
            <m:r>
              <w:rPr>
                <w:rFonts w:ascii="Cambria Math" w:hAnsi="Cambria Math"/>
                <w:sz w:val="22"/>
                <w:szCs w:val="22"/>
              </w:rPr>
              <m:t>dφ</m:t>
            </m:r>
          </m:num>
          <m:den>
            <m:r>
              <w:rPr>
                <w:rFonts w:ascii="Cambria Math" w:hAnsi="Cambria Math"/>
                <w:sz w:val="22"/>
                <w:szCs w:val="22"/>
              </w:rPr>
              <m:t>dr</m:t>
            </m:r>
          </m:den>
        </m:f>
        <m:r>
          <w:rPr>
            <w:rFonts w:ascii="Cambria Math" w:hAnsi="Cambria Math"/>
            <w:sz w:val="22"/>
            <w:szCs w:val="22"/>
          </w:rPr>
          <m:t>-</m:t>
        </m:r>
        <m:d>
          <m:dPr>
            <m:begChr m:val="{"/>
            <m:endChr m:val="}"/>
            <m:ctrlPr>
              <w:rPr>
                <w:rFonts w:ascii="Cambria Math" w:hAnsi="Cambria Math"/>
                <w:i/>
                <w:kern w:val="3"/>
                <w:sz w:val="22"/>
                <w:szCs w:val="22"/>
                <w:lang w:eastAsia="en-US"/>
              </w:rPr>
            </m:ctrlPr>
          </m:dPr>
          <m:e>
            <m:f>
              <m:fPr>
                <m:ctrlPr>
                  <w:rPr>
                    <w:rFonts w:ascii="Cambria Math" w:hAnsi="Cambria Math"/>
                    <w:i/>
                    <w:kern w:val="3"/>
                    <w:sz w:val="22"/>
                    <w:szCs w:val="22"/>
                    <w:lang w:eastAsia="en-US"/>
                  </w:rPr>
                </m:ctrlPr>
              </m:fPr>
              <m:num>
                <m:r>
                  <w:rPr>
                    <w:rFonts w:ascii="Cambria Math" w:hAnsi="Cambria Math"/>
                    <w:sz w:val="22"/>
                    <w:szCs w:val="22"/>
                  </w:rPr>
                  <m:t>φ-</m:t>
                </m:r>
                <m:sSub>
                  <m:sSubPr>
                    <m:ctrlPr>
                      <w:rPr>
                        <w:rFonts w:ascii="Cambria Math" w:hAnsi="Cambria Math"/>
                        <w:i/>
                        <w:kern w:val="3"/>
                        <w:sz w:val="22"/>
                        <w:szCs w:val="22"/>
                        <w:lang w:eastAsia="en-US"/>
                      </w:rPr>
                    </m:ctrlPr>
                  </m:sSubPr>
                  <m:e>
                    <m:r>
                      <w:rPr>
                        <w:rFonts w:ascii="Cambria Math" w:hAnsi="Cambria Math"/>
                        <w:sz w:val="22"/>
                        <w:szCs w:val="22"/>
                      </w:rPr>
                      <m:t>m</m:t>
                    </m:r>
                  </m:e>
                  <m:sub>
                    <m:r>
                      <w:rPr>
                        <w:rFonts w:ascii="Cambria Math" w:hAnsi="Cambria Math"/>
                        <w:sz w:val="22"/>
                        <w:szCs w:val="22"/>
                      </w:rPr>
                      <m:t>v</m:t>
                    </m:r>
                  </m:sub>
                </m:sSub>
                <m:r>
                  <w:rPr>
                    <w:rFonts w:ascii="Cambria Math" w:hAnsi="Cambria Math"/>
                    <w:sz w:val="22"/>
                    <w:szCs w:val="22"/>
                  </w:rPr>
                  <m:t>-b-a W</m:t>
                </m:r>
                <m:d>
                  <m:dPr>
                    <m:begChr m:val="{"/>
                    <m:endChr m:val="}"/>
                    <m:ctrlPr>
                      <w:rPr>
                        <w:rFonts w:ascii="Cambria Math" w:hAnsi="Cambria Math"/>
                        <w:i/>
                        <w:kern w:val="3"/>
                        <w:sz w:val="22"/>
                        <w:szCs w:val="22"/>
                        <w:lang w:eastAsia="en-US"/>
                      </w:rPr>
                    </m:ctrlPr>
                  </m:dPr>
                  <m:e>
                    <m:r>
                      <w:rPr>
                        <w:rFonts w:ascii="Cambria Math" w:hAnsi="Cambria Math"/>
                        <w:sz w:val="22"/>
                        <w:szCs w:val="22"/>
                      </w:rPr>
                      <m:t>-</m:t>
                    </m:r>
                    <m:f>
                      <m:fPr>
                        <m:ctrlPr>
                          <w:rPr>
                            <w:rFonts w:ascii="Cambria Math" w:hAnsi="Cambria Math"/>
                            <w:i/>
                            <w:kern w:val="3"/>
                            <w:sz w:val="22"/>
                            <w:szCs w:val="22"/>
                            <w:lang w:eastAsia="en-US"/>
                          </w:rPr>
                        </m:ctrlPr>
                      </m:fPr>
                      <m:num>
                        <m:r>
                          <w:rPr>
                            <w:rFonts w:ascii="Cambria Math" w:hAnsi="Cambria Math"/>
                            <w:sz w:val="22"/>
                            <w:szCs w:val="22"/>
                          </w:rPr>
                          <m:t>1</m:t>
                        </m:r>
                      </m:num>
                      <m:den>
                        <m:r>
                          <w:rPr>
                            <w:rFonts w:ascii="Cambria Math" w:hAnsi="Cambria Math"/>
                            <w:sz w:val="22"/>
                            <w:szCs w:val="22"/>
                          </w:rPr>
                          <m:t xml:space="preserve">a </m:t>
                        </m:r>
                      </m:den>
                    </m:f>
                    <m:r>
                      <w:rPr>
                        <w:rFonts w:ascii="Cambria Math" w:hAnsi="Cambria Math"/>
                        <w:sz w:val="22"/>
                        <w:szCs w:val="22"/>
                      </w:rPr>
                      <m:t>exp</m:t>
                    </m:r>
                    <m:d>
                      <m:dPr>
                        <m:ctrlPr>
                          <w:rPr>
                            <w:rFonts w:ascii="Cambria Math" w:hAnsi="Cambria Math"/>
                            <w:i/>
                            <w:kern w:val="3"/>
                            <w:sz w:val="22"/>
                            <w:szCs w:val="22"/>
                            <w:lang w:eastAsia="en-US"/>
                          </w:rPr>
                        </m:ctrlPr>
                      </m:dPr>
                      <m:e>
                        <m:d>
                          <m:dPr>
                            <m:ctrlPr>
                              <w:rPr>
                                <w:rFonts w:ascii="Cambria Math" w:hAnsi="Cambria Math"/>
                                <w:i/>
                                <w:kern w:val="3"/>
                                <w:sz w:val="22"/>
                                <w:szCs w:val="22"/>
                                <w:lang w:eastAsia="en-US"/>
                              </w:rPr>
                            </m:ctrlPr>
                          </m:dPr>
                          <m:e>
                            <m:r>
                              <w:rPr>
                                <w:rFonts w:ascii="Cambria Math" w:hAnsi="Cambria Math"/>
                                <w:sz w:val="22"/>
                                <w:szCs w:val="22"/>
                              </w:rPr>
                              <m:t>φ-C1</m:t>
                            </m:r>
                          </m:e>
                        </m:d>
                        <m:r>
                          <w:rPr>
                            <w:rFonts w:ascii="Cambria Math" w:hAnsi="Cambria Math"/>
                            <w:sz w:val="22"/>
                            <w:szCs w:val="22"/>
                          </w:rPr>
                          <m:t>/a</m:t>
                        </m:r>
                      </m:e>
                    </m:d>
                  </m:e>
                </m:d>
              </m:num>
              <m:den>
                <m:sSup>
                  <m:sSupPr>
                    <m:ctrlPr>
                      <w:rPr>
                        <w:rFonts w:ascii="Cambria Math" w:hAnsi="Cambria Math"/>
                        <w:i/>
                        <w:kern w:val="3"/>
                        <w:sz w:val="22"/>
                        <w:szCs w:val="22"/>
                        <w:lang w:eastAsia="en-US"/>
                      </w:rPr>
                    </m:ctrlPr>
                  </m:sSupPr>
                  <m:e>
                    <m:r>
                      <w:rPr>
                        <w:rFonts w:ascii="Cambria Math" w:hAnsi="Cambria Math"/>
                        <w:sz w:val="22"/>
                        <w:szCs w:val="22"/>
                      </w:rPr>
                      <m:t>λ</m:t>
                    </m:r>
                  </m:e>
                  <m:sup>
                    <m:r>
                      <w:rPr>
                        <w:rFonts w:ascii="Cambria Math" w:hAnsi="Cambria Math"/>
                        <w:sz w:val="22"/>
                        <w:szCs w:val="22"/>
                      </w:rPr>
                      <m:t>2</m:t>
                    </m:r>
                  </m:sup>
                </m:sSup>
              </m:den>
            </m:f>
          </m:e>
        </m:d>
        <m:r>
          <w:rPr>
            <w:rFonts w:ascii="Cambria Math" w:hAnsi="Cambria Math"/>
            <w:sz w:val="22"/>
            <w:szCs w:val="22"/>
          </w:rPr>
          <m:t>=</m:t>
        </m:r>
      </m:oMath>
      <w:r w:rsidR="005414EF">
        <w:rPr>
          <w:rFonts w:ascii="Cambria Math" w:hAnsi="Cambria Math"/>
        </w:rPr>
        <w:t xml:space="preserve"> 0                                                                                      (17)</w:t>
      </w:r>
    </w:p>
    <w:p w:rsidR="00456321" w:rsidRDefault="00456321" w:rsidP="00456321">
      <w:pPr>
        <w:jc w:val="center"/>
        <w:rPr>
          <w:rFonts w:ascii="Cambria Math" w:hAnsi="Cambria Math"/>
        </w:rPr>
      </w:pPr>
    </w:p>
    <w:p w:rsidR="005414EF" w:rsidRDefault="005414EF" w:rsidP="005414EF">
      <w:pPr>
        <w:jc w:val="left"/>
        <w:rPr>
          <w:szCs w:val="16"/>
        </w:rPr>
      </w:pPr>
      <w:r w:rsidRPr="002A157E">
        <w:rPr>
          <w:szCs w:val="16"/>
        </w:rPr>
        <w:t>De</w:t>
      </w:r>
      <w:r w:rsidR="002A157E">
        <w:rPr>
          <w:szCs w:val="16"/>
        </w:rPr>
        <w:t xml:space="preserve"> </w:t>
      </w:r>
      <w:r w:rsidR="008772D1">
        <w:rPr>
          <w:i/>
          <w:szCs w:val="16"/>
        </w:rPr>
        <w:t>W</w:t>
      </w:r>
      <w:r w:rsidR="008772D1">
        <w:rPr>
          <w:szCs w:val="16"/>
        </w:rPr>
        <w:t>(</w:t>
      </w:r>
      <w:r w:rsidR="008772D1">
        <w:rPr>
          <w:i/>
          <w:szCs w:val="16"/>
        </w:rPr>
        <w:t>x</w:t>
      </w:r>
      <w:r w:rsidR="008772D1">
        <w:rPr>
          <w:szCs w:val="16"/>
        </w:rPr>
        <w:t>) staat voor de Lambert W functie waarvan het verloop staat aangegeven in afbeelding 5.</w:t>
      </w:r>
    </w:p>
    <w:p w:rsidR="008772D1" w:rsidRDefault="002A4689" w:rsidP="005414EF">
      <w:pPr>
        <w:jc w:val="left"/>
        <w:rPr>
          <w:szCs w:val="16"/>
        </w:rPr>
      </w:pPr>
      <w:r>
        <w:rPr>
          <w:szCs w:val="16"/>
        </w:rPr>
        <w:t>Met behulp van Matlab wordt vergelijking 17</w:t>
      </w:r>
      <w:r w:rsidR="002B7CA5">
        <w:rPr>
          <w:szCs w:val="16"/>
        </w:rPr>
        <w:t xml:space="preserve"> met bijbehorende randvoorwaarden</w:t>
      </w:r>
      <w:r>
        <w:rPr>
          <w:szCs w:val="16"/>
        </w:rPr>
        <w:t xml:space="preserve"> opgelost. Als het verloop van de stijghoogte berekend is kan daarna het verloop van de grondwaterstand worden berekend op basis van de vergelijking:</w:t>
      </w:r>
    </w:p>
    <w:p w:rsidR="00D51BBC" w:rsidRDefault="00D51BBC" w:rsidP="005414EF">
      <w:pPr>
        <w:jc w:val="left"/>
        <w:rPr>
          <w:szCs w:val="16"/>
        </w:rPr>
      </w:pPr>
    </w:p>
    <w:p w:rsidR="00D51BBC" w:rsidRPr="00D51BBC" w:rsidRDefault="00D51BBC" w:rsidP="005414EF">
      <w:pPr>
        <w:jc w:val="left"/>
        <w:rPr>
          <w:szCs w:val="16"/>
        </w:rPr>
      </w:pPr>
      <m:oMathPara>
        <m:oMathParaPr>
          <m:jc m:val="left"/>
        </m:oMathParaPr>
        <m:oMath>
          <m:r>
            <w:rPr>
              <w:rFonts w:ascii="Cambria Math" w:hAnsi="Cambria Math"/>
              <w:szCs w:val="16"/>
            </w:rPr>
            <m:t>h=</m:t>
          </m:r>
          <m:sSub>
            <m:sSubPr>
              <m:ctrlPr>
                <w:rPr>
                  <w:rFonts w:ascii="Cambria Math" w:hAnsi="Cambria Math"/>
                  <w:i/>
                  <w:szCs w:val="16"/>
                </w:rPr>
              </m:ctrlPr>
            </m:sSubPr>
            <m:e>
              <m:r>
                <w:rPr>
                  <w:rFonts w:ascii="Cambria Math" w:hAnsi="Cambria Math"/>
                  <w:szCs w:val="16"/>
                </w:rPr>
                <m:t>m</m:t>
              </m:r>
            </m:e>
            <m:sub>
              <m:r>
                <w:rPr>
                  <w:rFonts w:ascii="Cambria Math" w:hAnsi="Cambria Math"/>
                  <w:szCs w:val="16"/>
                </w:rPr>
                <m:t>v</m:t>
              </m:r>
            </m:sub>
          </m:sSub>
          <m:r>
            <w:rPr>
              <w:rFonts w:ascii="Cambria Math" w:hAnsi="Cambria Math"/>
              <w:szCs w:val="16"/>
            </w:rPr>
            <m:t>+b+a W</m:t>
          </m:r>
          <m:d>
            <m:dPr>
              <m:begChr m:val="{"/>
              <m:endChr m:val="}"/>
              <m:ctrlPr>
                <w:rPr>
                  <w:rFonts w:ascii="Cambria Math" w:hAnsi="Cambria Math"/>
                  <w:i/>
                  <w:szCs w:val="16"/>
                </w:rPr>
              </m:ctrlPr>
            </m:dPr>
            <m:e>
              <m:r>
                <w:rPr>
                  <w:rFonts w:ascii="Cambria Math" w:hAnsi="Cambria Math"/>
                  <w:szCs w:val="16"/>
                </w:rPr>
                <m:t>-</m:t>
              </m:r>
              <m:f>
                <m:fPr>
                  <m:ctrlPr>
                    <w:rPr>
                      <w:rFonts w:ascii="Cambria Math" w:hAnsi="Cambria Math"/>
                      <w:i/>
                      <w:szCs w:val="16"/>
                    </w:rPr>
                  </m:ctrlPr>
                </m:fPr>
                <m:num>
                  <m:r>
                    <w:rPr>
                      <w:rFonts w:ascii="Cambria Math" w:hAnsi="Cambria Math"/>
                      <w:szCs w:val="16"/>
                    </w:rPr>
                    <m:t>1</m:t>
                  </m:r>
                </m:num>
                <m:den>
                  <m:r>
                    <w:rPr>
                      <w:rFonts w:ascii="Cambria Math" w:hAnsi="Cambria Math"/>
                      <w:szCs w:val="16"/>
                    </w:rPr>
                    <m:t>a</m:t>
                  </m:r>
                </m:den>
              </m:f>
              <m:r>
                <w:rPr>
                  <w:rFonts w:ascii="Cambria Math" w:hAnsi="Cambria Math"/>
                  <w:szCs w:val="16"/>
                </w:rPr>
                <m:t>exp</m:t>
              </m:r>
              <m:d>
                <m:dPr>
                  <m:ctrlPr>
                    <w:rPr>
                      <w:rFonts w:ascii="Cambria Math" w:hAnsi="Cambria Math"/>
                      <w:i/>
                      <w:szCs w:val="16"/>
                    </w:rPr>
                  </m:ctrlPr>
                </m:dPr>
                <m:e>
                  <m:d>
                    <m:dPr>
                      <m:ctrlPr>
                        <w:rPr>
                          <w:rFonts w:ascii="Cambria Math" w:hAnsi="Cambria Math"/>
                          <w:i/>
                          <w:szCs w:val="16"/>
                        </w:rPr>
                      </m:ctrlPr>
                    </m:dPr>
                    <m:e>
                      <m:r>
                        <w:rPr>
                          <w:rFonts w:ascii="Cambria Math" w:hAnsi="Cambria Math"/>
                          <w:szCs w:val="16"/>
                        </w:rPr>
                        <m:t>φ-C1</m:t>
                      </m:r>
                    </m:e>
                  </m:d>
                  <m:r>
                    <w:rPr>
                      <w:rFonts w:ascii="Cambria Math" w:hAnsi="Cambria Math"/>
                      <w:szCs w:val="16"/>
                    </w:rPr>
                    <m:t>/a</m:t>
                  </m:r>
                </m:e>
              </m:d>
            </m:e>
          </m:d>
          <m:r>
            <w:rPr>
              <w:rFonts w:ascii="Cambria Math" w:hAnsi="Cambria Math"/>
              <w:szCs w:val="16"/>
            </w:rPr>
            <m:t xml:space="preserve">                                                                                                                               (18)  </m:t>
          </m:r>
        </m:oMath>
      </m:oMathPara>
    </w:p>
    <w:p w:rsidR="00D51BBC" w:rsidRDefault="00D51BBC" w:rsidP="005414EF">
      <w:pPr>
        <w:jc w:val="left"/>
        <w:rPr>
          <w:szCs w:val="16"/>
        </w:rPr>
      </w:pPr>
    </w:p>
    <w:p w:rsidR="00D51BBC" w:rsidRPr="00D51BBC" w:rsidRDefault="00D51BBC" w:rsidP="005414EF">
      <w:pPr>
        <w:jc w:val="left"/>
        <w:rPr>
          <w:szCs w:val="16"/>
        </w:rPr>
      </w:pPr>
      <w:r>
        <w:rPr>
          <w:szCs w:val="16"/>
        </w:rPr>
        <w:t>Deze oplossing is correct voor grondwate</w:t>
      </w:r>
      <w:r w:rsidR="00D42C20">
        <w:rPr>
          <w:szCs w:val="16"/>
        </w:rPr>
        <w:t xml:space="preserve">rstanden boven de drainagebasis, waarvoor de overdrachtsfactor geldt volgens vergelijking 6 met een maximale </w:t>
      </w:r>
      <m:oMath>
        <m:sSub>
          <m:sSubPr>
            <m:ctrlPr>
              <w:rPr>
                <w:rFonts w:ascii="Cambria Math" w:hAnsi="Cambria Math"/>
                <w:i/>
                <w:szCs w:val="16"/>
              </w:rPr>
            </m:ctrlPr>
          </m:sSubPr>
          <m:e>
            <m:r>
              <w:rPr>
                <w:rFonts w:ascii="Cambria Math" w:hAnsi="Cambria Math"/>
                <w:szCs w:val="16"/>
              </w:rPr>
              <m:t>F</m:t>
            </m:r>
          </m:e>
          <m:sub>
            <m:r>
              <w:rPr>
                <w:rFonts w:ascii="Cambria Math" w:hAnsi="Cambria Math"/>
                <w:szCs w:val="16"/>
              </w:rPr>
              <m:t>m</m:t>
            </m:r>
          </m:sub>
        </m:sSub>
      </m:oMath>
      <w:r w:rsidR="00D42C20">
        <w:rPr>
          <w:szCs w:val="16"/>
        </w:rPr>
        <w:t xml:space="preserve"> volgens vergelijking 14. Voor diepere grondwaterstanden is er geen oppervla</w:t>
      </w:r>
      <w:r w:rsidR="0052402F">
        <w:rPr>
          <w:szCs w:val="16"/>
        </w:rPr>
        <w:t>ktewater</w:t>
      </w:r>
      <w:r w:rsidR="00A52128">
        <w:rPr>
          <w:szCs w:val="16"/>
        </w:rPr>
        <w:t xml:space="preserve"> </w:t>
      </w:r>
      <w:r w:rsidR="0052402F">
        <w:rPr>
          <w:szCs w:val="16"/>
        </w:rPr>
        <w:t xml:space="preserve">afvoer en daarmee geldt voor  grondwaterstanden onder de drainagebasis de Dupuit formule. Er is dus geen sprake van een geleidelijke overgang van vergelijking 17 in de Dupuit formule in het geval van een drainagebasis op </w:t>
      </w:r>
      <w:r w:rsidR="00C570BD">
        <w:rPr>
          <w:szCs w:val="16"/>
        </w:rPr>
        <w:t>een diepte in de orde van meters onder maaiveld. Eén en ander wordt aangegeven in afbeelding 4. Het is lastig om de discontinuïteit te vangen in een analytische oplossing, een numerieke aanpak moet hier uitkomst</w:t>
      </w:r>
      <w:r w:rsidR="005E17D5">
        <w:rPr>
          <w:szCs w:val="16"/>
        </w:rPr>
        <w:t xml:space="preserve"> bieden. N</w:t>
      </w:r>
      <w:r w:rsidR="00C570BD">
        <w:rPr>
          <w:szCs w:val="16"/>
        </w:rPr>
        <w:t>aar verwachting kan het gesignaleerde probleem r</w:t>
      </w:r>
      <w:r w:rsidR="002459DE">
        <w:rPr>
          <w:szCs w:val="16"/>
        </w:rPr>
        <w:t>elatief gemakkelijk opgelost</w:t>
      </w:r>
      <w:r w:rsidR="00C570BD">
        <w:rPr>
          <w:szCs w:val="16"/>
        </w:rPr>
        <w:t xml:space="preserve"> worden in de gangbare grondwatermodellen.</w:t>
      </w:r>
      <w:r w:rsidR="0052402F">
        <w:rPr>
          <w:szCs w:val="16"/>
        </w:rPr>
        <w:t xml:space="preserve"> </w:t>
      </w:r>
    </w:p>
    <w:p w:rsidR="00D80371" w:rsidRPr="005414EF" w:rsidRDefault="00D80371" w:rsidP="005414EF">
      <w:pPr>
        <w:pStyle w:val="Textbody"/>
        <w:rPr>
          <w:rFonts w:ascii="Lucida Sans" w:hAnsi="Lucida Sans"/>
          <w:sz w:val="16"/>
          <w:szCs w:val="16"/>
        </w:rPr>
      </w:pPr>
      <w:r w:rsidRPr="00D80371">
        <w:rPr>
          <w:rFonts w:ascii="Cambria Math" w:hAnsi="Cambria Math"/>
          <w:sz w:val="22"/>
          <w:szCs w:val="22"/>
        </w:rPr>
        <w:t xml:space="preserve">   </w:t>
      </w:r>
      <w:r>
        <w:rPr>
          <w:rFonts w:ascii="Cambria Math" w:hAnsi="Cambria Math"/>
          <w:sz w:val="22"/>
          <w:szCs w:val="22"/>
        </w:rPr>
        <w:t xml:space="preserve">                             </w:t>
      </w:r>
      <w:r w:rsidR="005414EF">
        <w:rPr>
          <w:rFonts w:ascii="Cambria Math" w:hAnsi="Cambria Math"/>
          <w:sz w:val="22"/>
          <w:szCs w:val="22"/>
        </w:rPr>
        <w:t xml:space="preserve">                       </w:t>
      </w:r>
    </w:p>
    <w:p w:rsidR="00D80371" w:rsidRPr="00D80371" w:rsidRDefault="00456321" w:rsidP="00D80371">
      <w:pPr>
        <w:pStyle w:val="Textbody"/>
        <w:rPr>
          <w:rFonts w:ascii="Lucida Sans" w:hAnsi="Lucida Sans"/>
          <w:sz w:val="16"/>
          <w:szCs w:val="16"/>
        </w:rPr>
      </w:pPr>
      <w:r>
        <w:rPr>
          <w:rFonts w:ascii="Cambria Math" w:hAnsi="Cambria Math"/>
          <w:noProof/>
          <w:sz w:val="22"/>
          <w:szCs w:val="22"/>
          <w:lang w:eastAsia="nl-NL"/>
        </w:rPr>
        <w:drawing>
          <wp:inline distT="0" distB="0" distL="0" distR="0" wp14:anchorId="22EB6198" wp14:editId="3B0BCB54">
            <wp:extent cx="4926838" cy="2040340"/>
            <wp:effectExtent l="0" t="0" r="762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0012015_00000.bmp"/>
                    <pic:cNvPicPr/>
                  </pic:nvPicPr>
                  <pic:blipFill rotWithShape="1">
                    <a:blip r:embed="rId12" cstate="print">
                      <a:extLst>
                        <a:ext uri="{28A0092B-C50C-407E-A947-70E740481C1C}">
                          <a14:useLocalDpi xmlns:a14="http://schemas.microsoft.com/office/drawing/2010/main" val="0"/>
                        </a:ext>
                      </a:extLst>
                    </a:blip>
                    <a:srcRect t="12139" b="58824"/>
                    <a:stretch/>
                  </pic:blipFill>
                  <pic:spPr bwMode="auto">
                    <a:xfrm>
                      <a:off x="0" y="0"/>
                      <a:ext cx="4928235" cy="2040918"/>
                    </a:xfrm>
                    <a:prstGeom prst="rect">
                      <a:avLst/>
                    </a:prstGeom>
                    <a:ln>
                      <a:noFill/>
                    </a:ln>
                    <a:extLst>
                      <a:ext uri="{53640926-AAD7-44D8-BBD7-CCE9431645EC}">
                        <a14:shadowObscured xmlns:a14="http://schemas.microsoft.com/office/drawing/2010/main"/>
                      </a:ext>
                    </a:extLst>
                  </pic:spPr>
                </pic:pic>
              </a:graphicData>
            </a:graphic>
          </wp:inline>
        </w:drawing>
      </w:r>
    </w:p>
    <w:p w:rsidR="001C3483" w:rsidRDefault="00B93E0B" w:rsidP="001C3483">
      <w:pPr>
        <w:rPr>
          <w:rFonts w:eastAsiaTheme="minorEastAsia"/>
          <w:szCs w:val="16"/>
        </w:rPr>
      </w:pPr>
      <w:r>
        <w:rPr>
          <w:rFonts w:eastAsiaTheme="minorEastAsia"/>
          <w:szCs w:val="16"/>
        </w:rPr>
        <w:t xml:space="preserve">  </w:t>
      </w:r>
      <w:r w:rsidR="002B7CA5">
        <w:rPr>
          <w:rFonts w:eastAsiaTheme="minorEastAsia"/>
          <w:b/>
          <w:szCs w:val="16"/>
        </w:rPr>
        <w:t>Afbeelding 5</w:t>
      </w:r>
      <w:r w:rsidR="002B7CA5">
        <w:rPr>
          <w:rFonts w:eastAsiaTheme="minorEastAsia"/>
          <w:szCs w:val="16"/>
        </w:rPr>
        <w:t>: Het verloop van de Lambert W func</w:t>
      </w:r>
      <w:r w:rsidR="001C3483">
        <w:rPr>
          <w:rFonts w:eastAsiaTheme="minorEastAsia"/>
          <w:szCs w:val="16"/>
        </w:rPr>
        <w:t>tie</w:t>
      </w:r>
    </w:p>
    <w:p w:rsidR="00EB38B4" w:rsidRDefault="001C3483" w:rsidP="001C3483">
      <w:pPr>
        <w:rPr>
          <w:rFonts w:eastAsiaTheme="minorEastAsia"/>
          <w:szCs w:val="16"/>
        </w:rPr>
      </w:pPr>
      <w:r>
        <w:rPr>
          <w:rFonts w:eastAsiaTheme="minorEastAsia"/>
          <w:szCs w:val="16"/>
        </w:rPr>
        <w:t xml:space="preserve">Met de vergelijkingen 17 en 18 worden de verlagingen van de stijghoogte en de grondwaterstand berekend </w:t>
      </w:r>
      <w:r w:rsidR="004C708D">
        <w:rPr>
          <w:rFonts w:eastAsiaTheme="minorEastAsia"/>
          <w:szCs w:val="16"/>
        </w:rPr>
        <w:t>als gevolg van een grondwateronttrekking uit het diepe pakket. De berekening levert de stationaire eindsituatie en doet geen uitspraak over de tijdsduur waarin deze verandering wordt gerealiseerd. Laten we nu aannemen dat de oorspronkelijke grondwaterstand, dus zonder onttrekking, varieert tussen de GHG en de GLG.</w:t>
      </w:r>
      <w:r w:rsidR="00EB38B4">
        <w:rPr>
          <w:rFonts w:eastAsiaTheme="minorEastAsia"/>
          <w:szCs w:val="16"/>
        </w:rPr>
        <w:t xml:space="preserve"> Met onttrekking zal</w:t>
      </w:r>
      <w:r w:rsidR="006F68FB">
        <w:rPr>
          <w:rFonts w:eastAsiaTheme="minorEastAsia"/>
          <w:szCs w:val="16"/>
        </w:rPr>
        <w:t xml:space="preserve"> de</w:t>
      </w:r>
      <w:r w:rsidR="00EB38B4">
        <w:rPr>
          <w:rFonts w:eastAsiaTheme="minorEastAsia"/>
          <w:szCs w:val="16"/>
        </w:rPr>
        <w:t xml:space="preserve"> GHG minder dalen dan de GLG.</w:t>
      </w:r>
    </w:p>
    <w:p w:rsidR="001C3483" w:rsidRDefault="00EB38B4" w:rsidP="001C3483">
      <w:pPr>
        <w:rPr>
          <w:rFonts w:eastAsiaTheme="minorEastAsia"/>
          <w:szCs w:val="16"/>
        </w:rPr>
      </w:pPr>
      <w:r>
        <w:rPr>
          <w:rFonts w:eastAsiaTheme="minorEastAsia"/>
          <w:szCs w:val="16"/>
        </w:rPr>
        <w:t xml:space="preserve">Dat wil zeggen dat het verschil tussen de GHG en de GLG in de nieuwe situatie zal toenemen. </w:t>
      </w:r>
      <w:r w:rsidR="004C708D">
        <w:rPr>
          <w:rFonts w:eastAsiaTheme="minorEastAsia"/>
          <w:szCs w:val="16"/>
        </w:rPr>
        <w:t xml:space="preserve"> Indien de tijd die het duurt om de eindsituatie te bereiken langer is dan bijvoorbeeld een half jaar zal in werkelijkheid het grondwatersysteem</w:t>
      </w:r>
      <w:r w:rsidR="00993E32">
        <w:rPr>
          <w:rFonts w:eastAsiaTheme="minorEastAsia"/>
          <w:szCs w:val="16"/>
        </w:rPr>
        <w:t xml:space="preserve"> deze dus niet bereiken. In werkelijkheid zal daarmee het verschil tussen de GHG en de GLG minder zijn dan het verschil tussen de berekende eindsituaties. Het is mogelijk om een redelijke schatting te maken van het effect door het dyna</w:t>
      </w:r>
      <w:r w:rsidR="00102026">
        <w:rPr>
          <w:rFonts w:eastAsiaTheme="minorEastAsia"/>
          <w:szCs w:val="16"/>
        </w:rPr>
        <w:t>mische gedrag. We stellen hiertoe:</w:t>
      </w:r>
    </w:p>
    <w:p w:rsidR="00102026" w:rsidRDefault="00102026" w:rsidP="001C3483">
      <w:pPr>
        <w:rPr>
          <w:rFonts w:eastAsiaTheme="minorEastAsia"/>
          <w:szCs w:val="16"/>
        </w:rPr>
      </w:pPr>
    </w:p>
    <w:p w:rsidR="00102026" w:rsidRPr="00102026" w:rsidRDefault="00102026" w:rsidP="001C3483">
      <w:pPr>
        <w:rPr>
          <w:rFonts w:eastAsiaTheme="minorEastAsia"/>
          <w:szCs w:val="16"/>
        </w:rPr>
      </w:pPr>
      <m:oMathPara>
        <m:oMathParaPr>
          <m:jc m:val="left"/>
        </m:oMathParaPr>
        <m:oMath>
          <m:r>
            <w:rPr>
              <w:rFonts w:ascii="Cambria Math" w:eastAsiaTheme="minorEastAsia" w:hAnsi="Cambria Math"/>
              <w:szCs w:val="16"/>
            </w:rPr>
            <m:t>V=GHG-G</m:t>
          </m:r>
          <m:r>
            <w:rPr>
              <w:rFonts w:ascii="Cambria Math" w:eastAsiaTheme="minorEastAsia" w:hAnsi="Cambria Math"/>
              <w:szCs w:val="16"/>
            </w:rPr>
            <m:t>LG                                                                                                                                                                                   (19)</m:t>
          </m:r>
        </m:oMath>
      </m:oMathPara>
    </w:p>
    <w:p w:rsidR="00102026" w:rsidRDefault="00102026" w:rsidP="001C3483">
      <w:pPr>
        <w:rPr>
          <w:rFonts w:eastAsiaTheme="minorEastAsia"/>
          <w:szCs w:val="16"/>
        </w:rPr>
      </w:pPr>
    </w:p>
    <w:p w:rsidR="00102026" w:rsidRDefault="00102026" w:rsidP="001C3483">
      <w:pPr>
        <w:rPr>
          <w:rFonts w:eastAsiaTheme="minorEastAsia"/>
          <w:i/>
          <w:szCs w:val="16"/>
        </w:rPr>
      </w:pPr>
      <w:r>
        <w:rPr>
          <w:rFonts w:eastAsiaTheme="minorEastAsia"/>
          <w:szCs w:val="16"/>
        </w:rPr>
        <w:t xml:space="preserve">In de situatie met onttrekking wordt het verschil tussen de GHG en GLG, indien de eindsituatie wordt bereikt, </w:t>
      </w:r>
      <w:r>
        <w:rPr>
          <w:rFonts w:eastAsiaTheme="minorEastAsia"/>
          <w:i/>
          <w:szCs w:val="16"/>
        </w:rPr>
        <w:t xml:space="preserve"> </w:t>
      </w:r>
      <m:oMath>
        <m:r>
          <w:rPr>
            <w:rFonts w:ascii="Cambria Math" w:eastAsiaTheme="minorEastAsia" w:hAnsi="Cambria Math"/>
            <w:szCs w:val="16"/>
          </w:rPr>
          <m:t>V+∆V</m:t>
        </m:r>
      </m:oMath>
      <w:r>
        <w:rPr>
          <w:rFonts w:eastAsiaTheme="minorEastAsia"/>
          <w:i/>
          <w:szCs w:val="16"/>
        </w:rPr>
        <w:t>.</w:t>
      </w:r>
    </w:p>
    <w:p w:rsidR="00E426E8" w:rsidRDefault="00656CCD" w:rsidP="001C3483">
      <w:pPr>
        <w:rPr>
          <w:rFonts w:eastAsiaTheme="minorEastAsia"/>
          <w:szCs w:val="16"/>
        </w:rPr>
      </w:pPr>
      <w:r>
        <w:rPr>
          <w:rFonts w:eastAsiaTheme="minorEastAsia"/>
          <w:szCs w:val="16"/>
        </w:rPr>
        <w:t>Dit betekent dat er door het toenemen van de amplitude tussen GHG en GLG een extra berging</w:t>
      </w:r>
      <w:r w:rsidR="00E426E8">
        <w:rPr>
          <w:rFonts w:eastAsiaTheme="minorEastAsia"/>
          <w:szCs w:val="16"/>
        </w:rPr>
        <w:t>sverandering</w:t>
      </w:r>
      <w:r>
        <w:rPr>
          <w:rFonts w:eastAsiaTheme="minorEastAsia"/>
          <w:szCs w:val="16"/>
        </w:rPr>
        <w:t xml:space="preserve"> wordt geïntroduceerd. Indien wordt aangenomen dat de bergingscoëfficiënt in de onverzadigde zone constant is met de diepte van de grondwaterstand kan worden gesteld dat de maximale afwijking door het niet stationaire gedrag </w:t>
      </w:r>
      <w:r w:rsidR="00E426E8">
        <w:rPr>
          <w:rFonts w:eastAsiaTheme="minorEastAsia"/>
          <w:szCs w:val="16"/>
        </w:rPr>
        <w:t>gelijk is aan:</w:t>
      </w:r>
    </w:p>
    <w:p w:rsidR="00E426E8" w:rsidRDefault="00E426E8" w:rsidP="001C3483">
      <w:pPr>
        <w:rPr>
          <w:rFonts w:eastAsiaTheme="minorEastAsia"/>
          <w:szCs w:val="16"/>
        </w:rPr>
      </w:pPr>
    </w:p>
    <w:p w:rsidR="00E426E8" w:rsidRPr="00E426E8" w:rsidRDefault="00BF0CF0" w:rsidP="001C3483">
      <w:pPr>
        <w:rPr>
          <w:rFonts w:eastAsiaTheme="minorEastAsia"/>
          <w:szCs w:val="16"/>
        </w:rPr>
      </w:pPr>
      <m:oMathPara>
        <m:oMathParaPr>
          <m:jc m:val="left"/>
        </m:oMathParaPr>
        <m:oMath>
          <m:sSub>
            <m:sSubPr>
              <m:ctrlPr>
                <w:rPr>
                  <w:rFonts w:ascii="Cambria Math" w:eastAsiaTheme="minorEastAsia" w:hAnsi="Cambria Math"/>
                  <w:i/>
                  <w:szCs w:val="16"/>
                </w:rPr>
              </m:ctrlPr>
            </m:sSubPr>
            <m:e>
              <m:r>
                <w:rPr>
                  <w:rFonts w:ascii="Cambria Math" w:eastAsiaTheme="minorEastAsia" w:hAnsi="Cambria Math"/>
                  <w:szCs w:val="16"/>
                </w:rPr>
                <m:t>M</m:t>
              </m:r>
            </m:e>
            <m:sub>
              <m:r>
                <w:rPr>
                  <w:rFonts w:ascii="Cambria Math" w:eastAsiaTheme="minorEastAsia" w:hAnsi="Cambria Math"/>
                  <w:szCs w:val="16"/>
                </w:rPr>
                <m:t>a</m:t>
              </m:r>
            </m:sub>
          </m:sSub>
          <m:r>
            <w:rPr>
              <w:rFonts w:ascii="Cambria Math" w:eastAsiaTheme="minorEastAsia" w:hAnsi="Cambria Math"/>
              <w:szCs w:val="16"/>
            </w:rPr>
            <m:t>=</m:t>
          </m:r>
          <m:f>
            <m:fPr>
              <m:ctrlPr>
                <w:rPr>
                  <w:rFonts w:ascii="Cambria Math" w:eastAsiaTheme="minorEastAsia" w:hAnsi="Cambria Math"/>
                  <w:i/>
                  <w:szCs w:val="16"/>
                </w:rPr>
              </m:ctrlPr>
            </m:fPr>
            <m:num>
              <m:r>
                <w:rPr>
                  <w:rFonts w:ascii="Cambria Math" w:eastAsiaTheme="minorEastAsia" w:hAnsi="Cambria Math"/>
                  <w:szCs w:val="16"/>
                </w:rPr>
                <m:t>∆V</m:t>
              </m:r>
            </m:num>
            <m:den>
              <m:r>
                <w:rPr>
                  <w:rFonts w:ascii="Cambria Math" w:eastAsiaTheme="minorEastAsia" w:hAnsi="Cambria Math"/>
                  <w:szCs w:val="16"/>
                </w:rPr>
                <m:t>V</m:t>
              </m:r>
            </m:den>
          </m:f>
          <m:r>
            <w:rPr>
              <w:rFonts w:ascii="Cambria Math" w:eastAsiaTheme="minorEastAsia" w:hAnsi="Cambria Math"/>
              <w:szCs w:val="16"/>
            </w:rPr>
            <m:t>*100%                                                                                                                                                                                  (20)</m:t>
          </m:r>
        </m:oMath>
      </m:oMathPara>
    </w:p>
    <w:p w:rsidR="00E426E8" w:rsidRDefault="00E426E8" w:rsidP="001C3483">
      <w:pPr>
        <w:rPr>
          <w:rFonts w:eastAsiaTheme="minorEastAsia"/>
          <w:szCs w:val="16"/>
        </w:rPr>
      </w:pPr>
    </w:p>
    <w:p w:rsidR="00DF5CA4" w:rsidRDefault="00DF5CA4" w:rsidP="001C3483">
      <w:pPr>
        <w:rPr>
          <w:rFonts w:eastAsiaTheme="minorEastAsia"/>
          <w:noProof/>
          <w:szCs w:val="16"/>
        </w:rPr>
      </w:pPr>
      <w:r>
        <w:rPr>
          <w:rFonts w:eastAsiaTheme="minorEastAsia"/>
          <w:szCs w:val="16"/>
        </w:rPr>
        <w:t>We kunnen nu, als voorbeeld, berekenen wat de maximale afwijking is voor de grondwatersituatie die is doorgerekend in Van den Akker (2014 b). Deze situatie is weergegeven in afbeelding 6.</w:t>
      </w:r>
    </w:p>
    <w:p w:rsidR="00DF5CA4" w:rsidRDefault="00DF5CA4" w:rsidP="001C3483">
      <w:pPr>
        <w:rPr>
          <w:rFonts w:eastAsiaTheme="minorEastAsia"/>
          <w:noProof/>
          <w:szCs w:val="16"/>
        </w:rPr>
      </w:pPr>
    </w:p>
    <w:p w:rsidR="00DF5CA4" w:rsidRPr="00DF5CA4" w:rsidRDefault="00DF5CA4" w:rsidP="001C3483">
      <w:pPr>
        <w:rPr>
          <w:rFonts w:eastAsiaTheme="minorEastAsia"/>
          <w:szCs w:val="16"/>
        </w:rPr>
      </w:pPr>
      <w:r>
        <w:rPr>
          <w:rFonts w:eastAsiaTheme="minorEastAsia"/>
          <w:noProof/>
          <w:szCs w:val="16"/>
        </w:rPr>
        <w:drawing>
          <wp:inline distT="0" distB="0" distL="0" distR="0">
            <wp:extent cx="4926841" cy="1862919"/>
            <wp:effectExtent l="0" t="0" r="7620" b="444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4072014_00003.bmp"/>
                    <pic:cNvPicPr/>
                  </pic:nvPicPr>
                  <pic:blipFill rotWithShape="1">
                    <a:blip r:embed="rId13" cstate="print">
                      <a:extLst>
                        <a:ext uri="{28A0092B-C50C-407E-A947-70E740481C1C}">
                          <a14:useLocalDpi xmlns:a14="http://schemas.microsoft.com/office/drawing/2010/main" val="0"/>
                        </a:ext>
                      </a:extLst>
                    </a:blip>
                    <a:srcRect t="40981" b="32508"/>
                    <a:stretch/>
                  </pic:blipFill>
                  <pic:spPr bwMode="auto">
                    <a:xfrm>
                      <a:off x="0" y="0"/>
                      <a:ext cx="4928235" cy="1863446"/>
                    </a:xfrm>
                    <a:prstGeom prst="rect">
                      <a:avLst/>
                    </a:prstGeom>
                    <a:ln>
                      <a:noFill/>
                    </a:ln>
                    <a:extLst>
                      <a:ext uri="{53640926-AAD7-44D8-BBD7-CCE9431645EC}">
                        <a14:shadowObscured xmlns:a14="http://schemas.microsoft.com/office/drawing/2010/main"/>
                      </a:ext>
                    </a:extLst>
                  </pic:spPr>
                </pic:pic>
              </a:graphicData>
            </a:graphic>
          </wp:inline>
        </w:drawing>
      </w:r>
    </w:p>
    <w:p w:rsidR="00E426E8" w:rsidRDefault="00D03BCE" w:rsidP="001C3483">
      <w:pPr>
        <w:rPr>
          <w:rFonts w:eastAsiaTheme="minorEastAsia"/>
          <w:szCs w:val="16"/>
        </w:rPr>
      </w:pPr>
      <w:r>
        <w:rPr>
          <w:rFonts w:eastAsiaTheme="minorEastAsia"/>
          <w:b/>
          <w:szCs w:val="16"/>
        </w:rPr>
        <w:t>Afbeelding 6</w:t>
      </w:r>
      <w:r>
        <w:rPr>
          <w:rFonts w:eastAsiaTheme="minorEastAsia"/>
          <w:szCs w:val="16"/>
        </w:rPr>
        <w:t>: Geohydrologische schematisering</w:t>
      </w:r>
    </w:p>
    <w:p w:rsidR="00A7325B" w:rsidRDefault="00A7325B" w:rsidP="001C3483">
      <w:pPr>
        <w:rPr>
          <w:rFonts w:eastAsiaTheme="minorEastAsia"/>
          <w:szCs w:val="16"/>
        </w:rPr>
      </w:pPr>
    </w:p>
    <w:p w:rsidR="00D03BCE" w:rsidRDefault="00A7325B" w:rsidP="001C3483">
      <w:pPr>
        <w:rPr>
          <w:rFonts w:eastAsiaTheme="minorEastAsia"/>
          <w:szCs w:val="16"/>
        </w:rPr>
      </w:pPr>
      <w:r>
        <w:rPr>
          <w:rFonts w:eastAsiaTheme="minorEastAsia"/>
          <w:szCs w:val="16"/>
        </w:rPr>
        <w:t xml:space="preserve">De oorspronkelijke </w:t>
      </w:r>
      <w:r w:rsidR="0031787B">
        <w:rPr>
          <w:rFonts w:eastAsiaTheme="minorEastAsia"/>
          <w:szCs w:val="16"/>
        </w:rPr>
        <w:t>GHG is 0,6 meter en de GLG is 1,6 meter.</w:t>
      </w:r>
    </w:p>
    <w:p w:rsidR="00BC6E98" w:rsidRDefault="00BC6E98" w:rsidP="00BC6E98">
      <w:pPr>
        <w:rPr>
          <w:color w:val="000000" w:themeColor="text1"/>
          <w:szCs w:val="16"/>
        </w:rPr>
      </w:pPr>
      <w:r>
        <w:rPr>
          <w:color w:val="000000" w:themeColor="text1"/>
          <w:szCs w:val="16"/>
        </w:rPr>
        <w:t>De grondwaterstandsverlaging door de onttrekking in het gebied tussen 3 en 8,5  k</w:t>
      </w:r>
      <w:r w:rsidR="00A7325B">
        <w:rPr>
          <w:color w:val="000000" w:themeColor="text1"/>
          <w:szCs w:val="16"/>
        </w:rPr>
        <w:t>ilometer kunnen we</w:t>
      </w:r>
      <w:r>
        <w:rPr>
          <w:color w:val="000000" w:themeColor="text1"/>
          <w:szCs w:val="16"/>
        </w:rPr>
        <w:t xml:space="preserve"> als gemiddelde waarde berekenen met de formule voor de TSV, dit is de toegevoegde stijghoogte verlaging, uit (Van den Akker, 2013).</w:t>
      </w:r>
    </w:p>
    <w:p w:rsidR="00BC6E98" w:rsidRDefault="00BC6E98" w:rsidP="00BC6E98">
      <w:pPr>
        <w:rPr>
          <w:color w:val="000000" w:themeColor="text1"/>
          <w:szCs w:val="16"/>
        </w:rPr>
      </w:pPr>
      <w:r>
        <w:rPr>
          <w:color w:val="000000" w:themeColor="text1"/>
          <w:szCs w:val="16"/>
        </w:rPr>
        <w:t>Deze TSV is identiek aan de verandering van de grondwaterstand, maar is wel afhankelijk van de uitgangssituatie van deze grondwaterstand.</w:t>
      </w:r>
    </w:p>
    <w:p w:rsidR="00BC6E98" w:rsidRDefault="00BC6E98" w:rsidP="00BC6E98">
      <w:pPr>
        <w:rPr>
          <w:color w:val="000000" w:themeColor="text1"/>
          <w:szCs w:val="16"/>
        </w:rPr>
      </w:pPr>
    </w:p>
    <w:p w:rsidR="00BC6E98" w:rsidRDefault="00BC6E98" w:rsidP="00BC6E98">
      <w:pPr>
        <w:rPr>
          <w:color w:val="000000" w:themeColor="text1"/>
          <w:szCs w:val="16"/>
        </w:rPr>
      </w:pPr>
      <m:oMath>
        <m:r>
          <w:rPr>
            <w:rFonts w:ascii="Cambria Math" w:hAnsi="Cambria Math"/>
            <w:color w:val="000000" w:themeColor="text1"/>
            <w:sz w:val="20"/>
            <w:szCs w:val="20"/>
          </w:rPr>
          <m:t>TSV=</m:t>
        </m:r>
        <m:d>
          <m:dPr>
            <m:ctrlPr>
              <w:rPr>
                <w:rFonts w:ascii="Cambria Math" w:hAnsi="Cambria Math"/>
                <w:i/>
                <w:color w:val="000000" w:themeColor="text1"/>
              </w:rPr>
            </m:ctrlPr>
          </m:dPr>
          <m:e>
            <m:r>
              <w:rPr>
                <w:rFonts w:ascii="Cambria Math" w:hAnsi="Cambria Math"/>
                <w:color w:val="000000" w:themeColor="text1"/>
                <w:sz w:val="20"/>
                <w:szCs w:val="20"/>
              </w:rPr>
              <m:t>gws+b</m:t>
            </m:r>
          </m:e>
        </m:d>
        <m:d>
          <m:dPr>
            <m:ctrlPr>
              <w:rPr>
                <w:rFonts w:ascii="Cambria Math" w:hAnsi="Cambria Math"/>
                <w:i/>
                <w:color w:val="000000" w:themeColor="text1"/>
              </w:rPr>
            </m:ctrlPr>
          </m:dPr>
          <m:e>
            <m:r>
              <w:rPr>
                <w:rFonts w:ascii="Cambria Math" w:hAnsi="Cambria Math"/>
                <w:color w:val="000000" w:themeColor="text1"/>
                <w:sz w:val="20"/>
                <w:szCs w:val="20"/>
              </w:rPr>
              <m:t>exp</m:t>
            </m:r>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sz w:val="20"/>
                        <w:szCs w:val="20"/>
                      </w:rPr>
                      <m:t>c ∆q</m:t>
                    </m:r>
                  </m:num>
                  <m:den>
                    <m:r>
                      <w:rPr>
                        <w:rFonts w:ascii="Cambria Math" w:hAnsi="Cambria Math"/>
                        <w:color w:val="000000" w:themeColor="text1"/>
                        <w:sz w:val="20"/>
                        <w:szCs w:val="20"/>
                      </w:rPr>
                      <m:t>a</m:t>
                    </m:r>
                  </m:den>
                </m:f>
              </m:e>
            </m:d>
            <m:r>
              <w:rPr>
                <w:rFonts w:ascii="Cambria Math" w:hAnsi="Cambria Math"/>
                <w:color w:val="000000" w:themeColor="text1"/>
                <w:sz w:val="20"/>
                <w:szCs w:val="20"/>
              </w:rPr>
              <m:t>-1</m:t>
            </m:r>
          </m:e>
        </m:d>
      </m:oMath>
      <w:r>
        <w:rPr>
          <w:color w:val="000000" w:themeColor="text1"/>
          <w:szCs w:val="16"/>
        </w:rPr>
        <w:t xml:space="preserve">                                                                                         (21)</w:t>
      </w:r>
    </w:p>
    <w:p w:rsidR="00BC6E98" w:rsidRDefault="00BC6E98" w:rsidP="00BC6E98">
      <w:pPr>
        <w:rPr>
          <w:color w:val="000000" w:themeColor="text1"/>
          <w:szCs w:val="16"/>
        </w:rPr>
      </w:pPr>
      <w:r>
        <w:rPr>
          <w:color w:val="000000" w:themeColor="text1"/>
          <w:szCs w:val="16"/>
        </w:rPr>
        <w:t>Hierin is ∆</w:t>
      </w:r>
      <w:r>
        <w:rPr>
          <w:i/>
          <w:color w:val="000000" w:themeColor="text1"/>
          <w:szCs w:val="16"/>
        </w:rPr>
        <w:t>q</w:t>
      </w:r>
      <w:r>
        <w:rPr>
          <w:color w:val="000000" w:themeColor="text1"/>
          <w:szCs w:val="16"/>
        </w:rPr>
        <w:t xml:space="preserve"> het quotiënt van de onttrokken hoeveelheid water als volumestroom en het oppervlak van het voedingsgebied tussen 3 en 8,5 kilometer. De oppervlakte van het voedingsgebied is 200 miljoen m</w:t>
      </w:r>
      <w:r>
        <w:rPr>
          <w:color w:val="000000" w:themeColor="text1"/>
          <w:sz w:val="20"/>
          <w:szCs w:val="20"/>
          <w:vertAlign w:val="superscript"/>
        </w:rPr>
        <w:t>2</w:t>
      </w:r>
      <w:r>
        <w:rPr>
          <w:color w:val="000000" w:themeColor="text1"/>
          <w:sz w:val="20"/>
          <w:szCs w:val="20"/>
        </w:rPr>
        <w:t xml:space="preserve"> </w:t>
      </w:r>
      <w:r>
        <w:rPr>
          <w:color w:val="000000" w:themeColor="text1"/>
          <w:szCs w:val="16"/>
        </w:rPr>
        <w:t>en dus is</w:t>
      </w:r>
    </w:p>
    <w:p w:rsidR="00BC6E98" w:rsidRDefault="00BC6E98" w:rsidP="00BC6E98">
      <w:pPr>
        <w:rPr>
          <w:color w:val="000000" w:themeColor="text1"/>
          <w:szCs w:val="16"/>
        </w:rPr>
      </w:pPr>
    </w:p>
    <w:p w:rsidR="00BC6E98" w:rsidRDefault="00BC6E98" w:rsidP="00BC6E98">
      <w:pPr>
        <w:rPr>
          <w:color w:val="000000" w:themeColor="text1"/>
          <w:szCs w:val="16"/>
        </w:rPr>
      </w:pPr>
      <m:oMath>
        <m:r>
          <w:rPr>
            <w:rFonts w:ascii="Cambria Math" w:hAnsi="Cambria Math"/>
            <w:color w:val="000000" w:themeColor="text1"/>
            <w:sz w:val="20"/>
            <w:szCs w:val="20"/>
          </w:rPr>
          <m:t>∆q=-0,1*</m:t>
        </m:r>
        <m:sSup>
          <m:sSupPr>
            <m:ctrlPr>
              <w:rPr>
                <w:rFonts w:ascii="Cambria Math" w:hAnsi="Cambria Math"/>
                <w:i/>
                <w:color w:val="000000" w:themeColor="text1"/>
              </w:rPr>
            </m:ctrlPr>
          </m:sSupPr>
          <m:e>
            <m:r>
              <w:rPr>
                <w:rFonts w:ascii="Cambria Math" w:hAnsi="Cambria Math"/>
                <w:color w:val="000000" w:themeColor="text1"/>
                <w:sz w:val="20"/>
                <w:szCs w:val="20"/>
              </w:rPr>
              <m:t>10</m:t>
            </m:r>
          </m:e>
          <m:sup>
            <m:r>
              <w:rPr>
                <w:rFonts w:ascii="Cambria Math" w:hAnsi="Cambria Math"/>
                <w:color w:val="000000" w:themeColor="text1"/>
                <w:sz w:val="20"/>
                <w:szCs w:val="20"/>
              </w:rPr>
              <m:t>-3</m:t>
            </m:r>
          </m:sup>
        </m:sSup>
        <m:r>
          <w:rPr>
            <w:rFonts w:ascii="Cambria Math" w:hAnsi="Cambria Math"/>
            <w:color w:val="000000" w:themeColor="text1"/>
            <w:sz w:val="20"/>
            <w:szCs w:val="20"/>
          </w:rPr>
          <m:t>m/dag</m:t>
        </m:r>
      </m:oMath>
      <w:r>
        <w:rPr>
          <w:color w:val="000000" w:themeColor="text1"/>
          <w:sz w:val="20"/>
          <w:szCs w:val="20"/>
        </w:rPr>
        <w:t xml:space="preserve"> </w:t>
      </w:r>
      <w:r>
        <w:rPr>
          <w:color w:val="000000" w:themeColor="text1"/>
          <w:szCs w:val="16"/>
        </w:rPr>
        <w:t xml:space="preserve"> </w:t>
      </w:r>
    </w:p>
    <w:p w:rsidR="00BC6E98" w:rsidRDefault="00BC6E98" w:rsidP="00BC6E98">
      <w:pPr>
        <w:rPr>
          <w:color w:val="000000" w:themeColor="text1"/>
          <w:szCs w:val="16"/>
        </w:rPr>
      </w:pPr>
    </w:p>
    <w:p w:rsidR="00A7325B" w:rsidRDefault="00BC6E98" w:rsidP="00BC6E98">
      <w:pPr>
        <w:rPr>
          <w:color w:val="000000" w:themeColor="text1"/>
          <w:szCs w:val="16"/>
        </w:rPr>
      </w:pPr>
      <w:r>
        <w:rPr>
          <w:color w:val="000000" w:themeColor="text1"/>
          <w:szCs w:val="16"/>
        </w:rPr>
        <w:t xml:space="preserve">Dit betekent dat de gemiddelde verlaging van de GHG bijna 0,04 m is en de gemiddelde verlaging van de GLG ongeveer 0,14 m is. </w:t>
      </w:r>
      <w:r w:rsidR="00A7325B">
        <w:rPr>
          <w:color w:val="000000" w:themeColor="text1"/>
          <w:szCs w:val="16"/>
        </w:rPr>
        <w:t>In dit geval is dus:</w:t>
      </w:r>
    </w:p>
    <w:p w:rsidR="00A7325B" w:rsidRDefault="00A7325B" w:rsidP="00BC6E98">
      <w:pPr>
        <w:rPr>
          <w:color w:val="000000" w:themeColor="text1"/>
          <w:szCs w:val="16"/>
        </w:rPr>
      </w:pPr>
    </w:p>
    <w:p w:rsidR="00A7325B" w:rsidRDefault="00A7325B" w:rsidP="00BC6E98">
      <m:oMath>
        <m:r>
          <w:rPr>
            <w:rFonts w:ascii="Cambria Math" w:hAnsi="Cambria Math"/>
          </w:rPr>
          <m:t>∆V=0,1 meter</m:t>
        </m:r>
      </m:oMath>
      <w:r w:rsidR="00BC6E98">
        <w:t xml:space="preserve"> </w:t>
      </w:r>
    </w:p>
    <w:p w:rsidR="00A7325B" w:rsidRDefault="00A7325B" w:rsidP="00BC6E98"/>
    <w:p w:rsidR="00A7325B" w:rsidRDefault="00A7325B" w:rsidP="00BC6E98">
      <w:pPr>
        <w:rPr>
          <w:i/>
        </w:rPr>
      </w:pPr>
      <w:r>
        <w:t>Het verschil tussen de GHG en GLG in de situatie zonder onttrekking</w:t>
      </w:r>
      <w:r w:rsidR="0031787B">
        <w:t xml:space="preserve"> is </w:t>
      </w:r>
      <w:r w:rsidR="0031787B">
        <w:rPr>
          <w:i/>
        </w:rPr>
        <w:t>V=1 meter.</w:t>
      </w:r>
    </w:p>
    <w:p w:rsidR="0031787B" w:rsidRDefault="0031787B" w:rsidP="00BC6E98">
      <w:r>
        <w:t>Dit betekent dat de afwijking tussen een niet stationaire berekening en mijn vergelijking 17 voor deze specifieke situatie maximaal 10 % zal zijn, waarbij de verlagingen uit de niet stationaire berekening</w:t>
      </w:r>
      <w:r w:rsidR="0038743F">
        <w:t xml:space="preserve"> kleiner</w:t>
      </w:r>
      <w:r>
        <w:t xml:space="preserve"> zijn.  Weliswaar is in deze geohydrologische situatie tot 3000 m een gebied zonder oppervlaktewater waar </w:t>
      </w:r>
      <w:r w:rsidR="00BD2D45">
        <w:t>het verschil tussen GHG en GLG toeneemt met ongeveer 0,2 meter, de bergingsverandering die dit tot gevolg heeft is echter klein ten opzichte van de totale bergingsverandering tussen 3 en 8,5 kilometer.</w:t>
      </w:r>
    </w:p>
    <w:p w:rsidR="00BD2D45" w:rsidRPr="0031787B" w:rsidRDefault="00BD2D45" w:rsidP="00BC6E98">
      <w:r>
        <w:t>Het is dus voorspelbaar dat een dynamisch grondwatermodel dat uitgaat van dezelfde U/h relatie in dit specifieke geval verlagingen van de GLG en GHG zal berekenen die in de orde van grootte  van 10% lager zullen zijn.</w:t>
      </w:r>
    </w:p>
    <w:p w:rsidR="00102026" w:rsidRPr="00BD2D45" w:rsidRDefault="00102026" w:rsidP="001C3483">
      <w:pPr>
        <w:rPr>
          <w:color w:val="000000" w:themeColor="text1"/>
          <w:szCs w:val="16"/>
        </w:rPr>
      </w:pPr>
    </w:p>
    <w:p w:rsidR="00CF3A3F" w:rsidRPr="00593E30" w:rsidRDefault="00BD794B" w:rsidP="00C11B99">
      <w:pPr>
        <w:pStyle w:val="Kop2"/>
      </w:pPr>
      <w:r w:rsidRPr="00593E30">
        <w:t>Commentaar op de analyse van Olsthoorn</w:t>
      </w:r>
    </w:p>
    <w:p w:rsidR="00931533" w:rsidRPr="00593E30" w:rsidRDefault="00931533" w:rsidP="00931533"/>
    <w:p w:rsidR="003740D4" w:rsidRPr="00593E30" w:rsidRDefault="00534CD0" w:rsidP="00931533">
      <w:r>
        <w:t>In Olsthoorn (2014</w:t>
      </w:r>
      <w:r w:rsidR="00AA0078">
        <w:t xml:space="preserve"> b</w:t>
      </w:r>
      <w:r>
        <w:t>) wordt</w:t>
      </w:r>
      <w:r w:rsidR="00931533" w:rsidRPr="00593E30">
        <w:t xml:space="preserve"> een poging</w:t>
      </w:r>
      <w:r>
        <w:t xml:space="preserve"> gedaan</w:t>
      </w:r>
      <w:r w:rsidR="00931533" w:rsidRPr="00593E30">
        <w:t xml:space="preserve"> om een bijdrage </w:t>
      </w:r>
      <w:r w:rsidR="0038743F">
        <w:t>te leveren aan de rekenmethode</w:t>
      </w:r>
      <w:r w:rsidR="00931533" w:rsidRPr="00593E30">
        <w:t xml:space="preserve"> zoals die is beschreven in Van den Akker (2013 en 2014</w:t>
      </w:r>
      <w:r w:rsidR="00AA0078">
        <w:t xml:space="preserve"> a</w:t>
      </w:r>
      <w:r w:rsidR="00931533" w:rsidRPr="00593E30">
        <w:t xml:space="preserve">). </w:t>
      </w:r>
      <w:r w:rsidR="003F3B0A">
        <w:t>Deze poging is</w:t>
      </w:r>
      <w:r w:rsidR="003740D4" w:rsidRPr="00593E30">
        <w:t xml:space="preserve"> </w:t>
      </w:r>
      <w:r w:rsidR="003F3B0A">
        <w:t>minder geslaagd te noemen</w:t>
      </w:r>
      <w:r w:rsidR="003F3B0A" w:rsidRPr="003F3B0A">
        <w:t xml:space="preserve"> </w:t>
      </w:r>
      <w:r w:rsidR="003F3B0A">
        <w:t>om een aantal redenen</w:t>
      </w:r>
      <w:r w:rsidR="003740D4" w:rsidRPr="00593E30">
        <w:t xml:space="preserve"> waarvan ik een drietal nader zal benoemen en beargumenteren.</w:t>
      </w:r>
    </w:p>
    <w:p w:rsidR="00C83BE7" w:rsidRPr="00593E30" w:rsidRDefault="003740D4" w:rsidP="00931533">
      <w:r w:rsidRPr="00593E30">
        <w:t>Ten eerste is er de bewering in Olsthoorn (2014</w:t>
      </w:r>
      <w:r w:rsidR="00AA0078">
        <w:t xml:space="preserve"> b</w:t>
      </w:r>
      <w:r w:rsidRPr="00593E30">
        <w:t xml:space="preserve">) dat de </w:t>
      </w:r>
      <w:r w:rsidR="00C83BE7" w:rsidRPr="00593E30">
        <w:t>overdrachtsfactor F afhankelijk is van de weerstand c van de scheidende laag</w:t>
      </w:r>
      <w:r w:rsidR="006C3FBB">
        <w:t xml:space="preserve"> maar</w:t>
      </w:r>
      <w:r w:rsidR="002A1505" w:rsidRPr="00593E30">
        <w:t xml:space="preserve"> dat de U/h relatie en de drainageweerstand niet van c afhangen. </w:t>
      </w:r>
      <w:r w:rsidR="00C83BE7" w:rsidRPr="00593E30">
        <w:t xml:space="preserve"> Hij doet dat op basis van de vergelijking:</w:t>
      </w:r>
    </w:p>
    <w:p w:rsidR="00C83BE7" w:rsidRPr="007C6720" w:rsidRDefault="00C83BE7" w:rsidP="00931533">
      <w:pPr>
        <w:rPr>
          <w:i/>
        </w:rPr>
      </w:pPr>
    </w:p>
    <w:p w:rsidR="00931533" w:rsidRPr="007C6720" w:rsidRDefault="007C6720" w:rsidP="00931533">
      <w:pPr>
        <w:rPr>
          <w:i/>
        </w:rPr>
      </w:pPr>
      <m:oMathPara>
        <m:oMathParaPr>
          <m:jc m:val="left"/>
        </m:oMathParaPr>
        <m:oMath>
          <m:r>
            <w:rPr>
              <w:rFonts w:ascii="Cambria Math" w:hAnsi="Cambria Math"/>
            </w:rPr>
            <m:t>F=</m:t>
          </m:r>
          <m:f>
            <m:fPr>
              <m:ctrlPr>
                <w:rPr>
                  <w:rFonts w:ascii="Cambria Math" w:hAnsi="Cambria Math"/>
                  <w:i/>
                </w:rPr>
              </m:ctrlPr>
            </m:fPr>
            <m:num>
              <m:r>
                <w:rPr>
                  <w:rFonts w:ascii="Cambria Math" w:hAnsi="Cambria Math"/>
                </w:rPr>
                <m:t>1</m:t>
              </m:r>
            </m:num>
            <m:den>
              <m:f>
                <m:fPr>
                  <m:ctrlPr>
                    <w:rPr>
                      <w:rFonts w:ascii="Cambria Math" w:hAnsi="Cambria Math"/>
                      <w:i/>
                    </w:rPr>
                  </m:ctrlPr>
                </m:fPr>
                <m:num>
                  <m:r>
                    <w:rPr>
                      <w:rFonts w:ascii="Cambria Math" w:hAnsi="Cambria Math"/>
                    </w:rPr>
                    <m:t>c</m:t>
                  </m:r>
                </m:num>
                <m:den>
                  <m:r>
                    <w:rPr>
                      <w:rFonts w:ascii="Cambria Math" w:hAnsi="Cambria Math"/>
                    </w:rPr>
                    <m:t>γ</m:t>
                  </m:r>
                </m:den>
              </m:f>
              <m:r>
                <w:rPr>
                  <w:rFonts w:ascii="Cambria Math" w:hAnsi="Cambria Math"/>
                </w:rPr>
                <m:t>+1</m:t>
              </m:r>
            </m:den>
          </m:f>
        </m:oMath>
      </m:oMathPara>
    </w:p>
    <w:p w:rsidR="00794D8D" w:rsidRDefault="00794D8D" w:rsidP="00931533">
      <w:r>
        <w:t>Deze vergelijking is v</w:t>
      </w:r>
      <w:r w:rsidR="00B859D3">
        <w:t>olkomen in lijn met</w:t>
      </w:r>
      <w:r>
        <w:t xml:space="preserve">  vergelijking 4 met de aantekening dat </w:t>
      </w:r>
    </w:p>
    <w:p w:rsidR="00BA30F7" w:rsidRDefault="00BA30F7" w:rsidP="00931533"/>
    <w:p w:rsidR="00BA30F7" w:rsidRPr="00512465" w:rsidRDefault="00BF0CF0" w:rsidP="00931533">
      <m:oMathPara>
        <m:oMathParaPr>
          <m:jc m:val="left"/>
        </m:oMathParaPr>
        <m:oMath>
          <m:f>
            <m:fPr>
              <m:ctrlPr>
                <w:rPr>
                  <w:rFonts w:ascii="Cambria Math" w:hAnsi="Cambria Math"/>
                  <w:i/>
                </w:rPr>
              </m:ctrlPr>
            </m:fPr>
            <m:num>
              <m:r>
                <w:rPr>
                  <w:rFonts w:ascii="Cambria Math" w:hAnsi="Cambria Math"/>
                </w:rPr>
                <m:t>dq</m:t>
              </m:r>
            </m:num>
            <m:den>
              <m:r>
                <w:rPr>
                  <w:rFonts w:ascii="Cambria Math" w:hAnsi="Cambria Math"/>
                </w:rPr>
                <m:t>dh</m:t>
              </m:r>
            </m:den>
          </m:f>
          <m:r>
            <w:rPr>
              <w:rFonts w:ascii="Cambria Math" w:hAnsi="Cambria Math"/>
            </w:rPr>
            <m:t>=</m:t>
          </m:r>
          <m:f>
            <m:fPr>
              <m:ctrlPr>
                <w:rPr>
                  <w:rFonts w:ascii="Cambria Math" w:hAnsi="Cambria Math"/>
                  <w:i/>
                </w:rPr>
              </m:ctrlPr>
            </m:fPr>
            <m:num>
              <m:r>
                <w:rPr>
                  <w:rFonts w:ascii="Cambria Math" w:hAnsi="Cambria Math"/>
                </w:rPr>
                <m:t>dU</m:t>
              </m:r>
            </m:num>
            <m:den>
              <m:r>
                <w:rPr>
                  <w:rFonts w:ascii="Cambria Math" w:hAnsi="Cambria Math"/>
                </w:rPr>
                <m:t>dh</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γ</m:t>
              </m:r>
            </m:den>
          </m:f>
        </m:oMath>
      </m:oMathPara>
    </w:p>
    <w:p w:rsidR="00512465" w:rsidRPr="00BA30F7" w:rsidRDefault="00512465" w:rsidP="00931533"/>
    <w:p w:rsidR="00593E30" w:rsidRDefault="00BA30F7" w:rsidP="00931533">
      <w:r>
        <w:t>Hierbij moet gelden dat er in het freatische pakket geen</w:t>
      </w:r>
      <w:r w:rsidR="00E4786B">
        <w:t xml:space="preserve"> verandering in de</w:t>
      </w:r>
      <w:r>
        <w:t xml:space="preserve"> horizontale stroming is,</w:t>
      </w:r>
      <w:r w:rsidR="004F7F35">
        <w:t xml:space="preserve"> de verandering in q wordt gecompenseerd door de verandering in U.</w:t>
      </w:r>
      <w:r>
        <w:t xml:space="preserve"> Olsthoorn brengt deze voorwaarde in de vergelijking door te stellen dat er een </w:t>
      </w:r>
      <w:r>
        <w:rPr>
          <w:b/>
        </w:rPr>
        <w:t xml:space="preserve">uniforme </w:t>
      </w:r>
      <w:r>
        <w:t xml:space="preserve">flux </w:t>
      </w:r>
      <w:r w:rsidRPr="00BA30F7">
        <w:rPr>
          <w:i/>
        </w:rPr>
        <w:t>q</w:t>
      </w:r>
      <w:r>
        <w:t xml:space="preserve"> wordt onttrokken aan het freatische grondwater.</w:t>
      </w:r>
    </w:p>
    <w:p w:rsidR="0038743F" w:rsidRDefault="007C6720" w:rsidP="00931533">
      <w:r>
        <w:t xml:space="preserve">Op basis van de hierboven vermelde relatie zou men toch mogen verwachten dat, aangezien </w:t>
      </w:r>
      <w:r>
        <w:rPr>
          <w:i/>
        </w:rPr>
        <w:t xml:space="preserve">q </w:t>
      </w:r>
      <w:r w:rsidR="002A1505">
        <w:t xml:space="preserve"> </w:t>
      </w:r>
      <w:r>
        <w:t>afhankelijk is van de hydraulische weerstand, ook d</w:t>
      </w:r>
      <w:r w:rsidR="0038743F">
        <w:t xml:space="preserve">e drainage weerstand afhangt </w:t>
      </w:r>
      <w:r>
        <w:t xml:space="preserve"> van </w:t>
      </w:r>
      <w:r>
        <w:rPr>
          <w:i/>
        </w:rPr>
        <w:t>c</w:t>
      </w:r>
      <w:r w:rsidR="0038743F">
        <w:rPr>
          <w:i/>
        </w:rPr>
        <w:t>.</w:t>
      </w:r>
    </w:p>
    <w:p w:rsidR="0038743F" w:rsidRDefault="0038743F" w:rsidP="00931533"/>
    <w:p w:rsidR="0038743F" w:rsidRPr="0038743F" w:rsidRDefault="0038743F" w:rsidP="00931533"/>
    <w:p w:rsidR="002A1505" w:rsidRDefault="002A1505" w:rsidP="00931533">
      <w:r>
        <w:t>Het is echter</w:t>
      </w:r>
      <w:r w:rsidR="00593E30">
        <w:t xml:space="preserve"> ook als volgt</w:t>
      </w:r>
      <w:r w:rsidR="004E6F1F">
        <w:t xml:space="preserve"> </w:t>
      </w:r>
      <w:r w:rsidR="00176159">
        <w:t xml:space="preserve"> in te zien dat  de drainageweerstand </w:t>
      </w:r>
      <w:r>
        <w:t xml:space="preserve"> van </w:t>
      </w:r>
      <w:r>
        <w:rPr>
          <w:i/>
        </w:rPr>
        <w:t xml:space="preserve">c </w:t>
      </w:r>
      <w:r>
        <w:t xml:space="preserve"> moet afhangen.</w:t>
      </w:r>
    </w:p>
    <w:p w:rsidR="00FE6961" w:rsidRDefault="006E4D7B" w:rsidP="00931533">
      <w:r>
        <w:t>In afbeelding 5</w:t>
      </w:r>
      <w:r w:rsidR="002A1505">
        <w:t xml:space="preserve"> is de aangenomen geohydrologische situa</w:t>
      </w:r>
      <w:r>
        <w:t>tie aangegeven, in afbeelding 5</w:t>
      </w:r>
      <w:r w:rsidR="002A1505">
        <w:t>a is</w:t>
      </w:r>
      <w:r w:rsidR="009253CF">
        <w:t>,</w:t>
      </w:r>
      <w:r>
        <w:t xml:space="preserve"> vergeleken met afbeelding 5</w:t>
      </w:r>
      <w:r w:rsidR="002A1505">
        <w:t>b</w:t>
      </w:r>
      <w:r w:rsidR="009253CF">
        <w:t>,</w:t>
      </w:r>
      <w:r w:rsidR="002A1505">
        <w:t xml:space="preserve"> alleen de </w:t>
      </w:r>
      <w:r w:rsidR="00FE6961">
        <w:t>c-waarde verschillend. Aangezien geldt dat de horizontale stroming in het freatische pakket verwaarlo</w:t>
      </w:r>
      <w:r w:rsidR="009253CF">
        <w:t>osbaar klein is, zal de</w:t>
      </w:r>
      <w:r w:rsidR="00FE6961">
        <w:t xml:space="preserve"> afvoer door het drainagesysteem afhangen van de</w:t>
      </w:r>
      <w:r w:rsidR="004713B2">
        <w:t xml:space="preserve"> stroming door het diepe pakket, temeer daar is gesteld dat de hydraulische weerstand niet al te hoog is. </w:t>
      </w:r>
    </w:p>
    <w:p w:rsidR="00BA30F7" w:rsidRDefault="00FE6961" w:rsidP="00931533">
      <w:r>
        <w:t xml:space="preserve">Het mag duidelijk zijn dat als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&lt;</m:t>
        </m:r>
        <m:sSub>
          <m:sSubPr>
            <m:ctrlPr>
              <w:rPr>
                <w:rFonts w:ascii="Cambria Math" w:hAnsi="Cambria Math"/>
                <w:i/>
              </w:rPr>
            </m:ctrlPr>
          </m:sSubPr>
          <m:e>
            <m:r>
              <w:rPr>
                <w:rFonts w:ascii="Cambria Math" w:hAnsi="Cambria Math"/>
              </w:rPr>
              <m:t>c</m:t>
            </m:r>
          </m:e>
          <m:sub>
            <m:r>
              <w:rPr>
                <w:rFonts w:ascii="Cambria Math" w:hAnsi="Cambria Math"/>
              </w:rPr>
              <m:t>2</m:t>
            </m:r>
          </m:sub>
        </m:sSub>
      </m:oMath>
      <w:r w:rsidR="00BA30F7">
        <w:t xml:space="preserve"> </w:t>
      </w:r>
      <w:r>
        <w:t xml:space="preserve">de drainageweerstand </w:t>
      </w:r>
      <m:oMath>
        <m:sSub>
          <m:sSubPr>
            <m:ctrlPr>
              <w:rPr>
                <w:rFonts w:ascii="Cambria Math" w:hAnsi="Cambria Math"/>
                <w:i/>
              </w:rPr>
            </m:ctrlPr>
          </m:sSubPr>
          <m:e>
            <m:r>
              <w:rPr>
                <w:rFonts w:ascii="Cambria Math" w:hAnsi="Cambria Math"/>
              </w:rPr>
              <m:t>γ</m:t>
            </m:r>
          </m:e>
          <m:sub>
            <m:r>
              <w:rPr>
                <w:rFonts w:ascii="Cambria Math" w:hAnsi="Cambria Math"/>
              </w:rPr>
              <m:t>1</m:t>
            </m:r>
          </m:sub>
        </m:sSub>
        <m:r>
          <w:rPr>
            <w:rFonts w:ascii="Cambria Math" w:hAnsi="Cambria Math"/>
          </w:rPr>
          <m:t>&lt;</m:t>
        </m:r>
        <m:sSub>
          <m:sSubPr>
            <m:ctrlPr>
              <w:rPr>
                <w:rFonts w:ascii="Cambria Math" w:hAnsi="Cambria Math"/>
                <w:i/>
              </w:rPr>
            </m:ctrlPr>
          </m:sSubPr>
          <m:e>
            <m:r>
              <w:rPr>
                <w:rFonts w:ascii="Cambria Math" w:hAnsi="Cambria Math"/>
              </w:rPr>
              <m:t>γ</m:t>
            </m:r>
          </m:e>
          <m:sub>
            <m:r>
              <w:rPr>
                <w:rFonts w:ascii="Cambria Math" w:hAnsi="Cambria Math"/>
              </w:rPr>
              <m:t>2</m:t>
            </m:r>
          </m:sub>
        </m:sSub>
      </m:oMath>
      <w:r>
        <w:t xml:space="preserve"> </w:t>
      </w:r>
    </w:p>
    <w:p w:rsidR="003A5973" w:rsidRDefault="003A5973" w:rsidP="00931533"/>
    <w:p w:rsidR="003A5973" w:rsidRDefault="00E97547" w:rsidP="00931533">
      <w:r>
        <w:rPr>
          <w:noProof/>
        </w:rPr>
        <w:drawing>
          <wp:inline distT="0" distB="0" distL="0" distR="0">
            <wp:extent cx="4920017" cy="128289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0012015_00001.bmp"/>
                    <pic:cNvPicPr/>
                  </pic:nvPicPr>
                  <pic:blipFill rotWithShape="1">
                    <a:blip r:embed="rId8" cstate="print">
                      <a:extLst>
                        <a:ext uri="{28A0092B-C50C-407E-A947-70E740481C1C}">
                          <a14:useLocalDpi xmlns:a14="http://schemas.microsoft.com/office/drawing/2010/main" val="0"/>
                        </a:ext>
                      </a:extLst>
                    </a:blip>
                    <a:srcRect t="34183" b="47535"/>
                    <a:stretch/>
                  </pic:blipFill>
                  <pic:spPr bwMode="auto">
                    <a:xfrm>
                      <a:off x="0" y="0"/>
                      <a:ext cx="4928235" cy="1285033"/>
                    </a:xfrm>
                    <a:prstGeom prst="rect">
                      <a:avLst/>
                    </a:prstGeom>
                    <a:ln>
                      <a:noFill/>
                    </a:ln>
                    <a:extLst>
                      <a:ext uri="{53640926-AAD7-44D8-BBD7-CCE9431645EC}">
                        <a14:shadowObscured xmlns:a14="http://schemas.microsoft.com/office/drawing/2010/main"/>
                      </a:ext>
                    </a:extLst>
                  </pic:spPr>
                </pic:pic>
              </a:graphicData>
            </a:graphic>
          </wp:inline>
        </w:drawing>
      </w:r>
    </w:p>
    <w:p w:rsidR="003A5973" w:rsidRPr="003A5973" w:rsidRDefault="003A5973" w:rsidP="00931533">
      <w:r>
        <w:rPr>
          <w:b/>
        </w:rPr>
        <w:t>Afbeelding 5:</w:t>
      </w:r>
      <w:r>
        <w:t xml:space="preserve"> Drainage weerstand afhankelijk van de c-waarde</w:t>
      </w:r>
    </w:p>
    <w:p w:rsidR="003A5973" w:rsidRDefault="003A5973" w:rsidP="00931533"/>
    <w:p w:rsidR="00BF15E5" w:rsidRDefault="00BF15E5" w:rsidP="00931533">
      <w:r>
        <w:t>De conclusie van Olsthoorn dat de drainageweerstand en ook de U/h relatie onafhankelijk zijn van de hydraulische weerstand is daarmee onjuist.</w:t>
      </w:r>
      <w:r w:rsidR="0023649A">
        <w:t xml:space="preserve"> Zoals gesteld in vergelijking 8 en 9 is er een afhankelijkheid van de weerstand </w:t>
      </w:r>
      <w:r w:rsidR="0023649A">
        <w:rPr>
          <w:i/>
        </w:rPr>
        <w:t>c.</w:t>
      </w:r>
      <w:r w:rsidR="0023649A">
        <w:t xml:space="preserve"> </w:t>
      </w:r>
      <w:r w:rsidR="006C3FBB">
        <w:t xml:space="preserve"> </w:t>
      </w:r>
      <w:r w:rsidR="00585818">
        <w:t>D</w:t>
      </w:r>
      <w:r w:rsidR="00145002">
        <w:t>e overdrachtsfactor</w:t>
      </w:r>
      <w:r w:rsidR="00585818">
        <w:t xml:space="preserve"> is</w:t>
      </w:r>
      <w:r w:rsidR="006C3FBB">
        <w:t xml:space="preserve">  </w:t>
      </w:r>
      <w:r w:rsidR="004713B2">
        <w:t>afhankelijk</w:t>
      </w:r>
      <w:r w:rsidR="006C3FBB">
        <w:t xml:space="preserve"> van </w:t>
      </w:r>
      <w:r w:rsidR="006C3FBB">
        <w:rPr>
          <w:i/>
        </w:rPr>
        <w:t>a</w:t>
      </w:r>
      <w:r w:rsidR="004713B2">
        <w:rPr>
          <w:i/>
        </w:rPr>
        <w:t>.</w:t>
      </w:r>
      <w:r w:rsidR="004713B2">
        <w:t xml:space="preserve"> De waarde van </w:t>
      </w:r>
      <w:r w:rsidR="004713B2">
        <w:rPr>
          <w:i/>
        </w:rPr>
        <w:t>a</w:t>
      </w:r>
      <w:r w:rsidR="004713B2">
        <w:t xml:space="preserve"> wordt bepaald door</w:t>
      </w:r>
      <w:r w:rsidR="00585818">
        <w:t xml:space="preserve"> de eigenschappen van het dr</w:t>
      </w:r>
      <w:r w:rsidR="006E6790">
        <w:t xml:space="preserve">ainagestelsel </w:t>
      </w:r>
      <w:r w:rsidR="004713B2">
        <w:t xml:space="preserve"> en tevens</w:t>
      </w:r>
      <w:r w:rsidR="00585818">
        <w:t xml:space="preserve"> door de hydraulische weerstand.</w:t>
      </w:r>
    </w:p>
    <w:p w:rsidR="00512465" w:rsidRDefault="00512465" w:rsidP="00931533"/>
    <w:p w:rsidR="00512465" w:rsidRDefault="00512465" w:rsidP="00931533">
      <w:r>
        <w:t xml:space="preserve">Ten tweede is er de bewering van Olsthoorn dat de fit met de logaritmische U/h relatie en de gemeten relatie uit Ernst (1971) in feite matig is. </w:t>
      </w:r>
      <w:r w:rsidR="00AA0078">
        <w:t>In afbeelding 1 van Olsthoorn (2014 b)</w:t>
      </w:r>
      <w:r>
        <w:t xml:space="preserve"> geeft hij het verloop van de logaritmische U/h relatie waarop hij deze uitspraak baseert.</w:t>
      </w:r>
      <w:r w:rsidR="0085108A">
        <w:t xml:space="preserve"> Het verloop van de door hem gepresenteerde relatie die hij aanduidt als “fit vdakker(2014)” is echter onjuist. In</w:t>
      </w:r>
      <w:r w:rsidR="006E6790">
        <w:t xml:space="preserve"> bovenstaande</w:t>
      </w:r>
      <w:r w:rsidR="0085108A">
        <w:t xml:space="preserve"> </w:t>
      </w:r>
      <w:r w:rsidR="006E4D7B">
        <w:t>afbeelding 2</w:t>
      </w:r>
      <w:r w:rsidR="009253CF">
        <w:t xml:space="preserve"> is</w:t>
      </w:r>
      <w:r w:rsidR="0085108A">
        <w:t xml:space="preserve"> het correcte verloop zoals dat reeds in Van den Akker (</w:t>
      </w:r>
      <w:r w:rsidR="009253CF">
        <w:t>2014</w:t>
      </w:r>
      <w:r w:rsidR="00AA0078">
        <w:t xml:space="preserve"> a</w:t>
      </w:r>
      <w:r w:rsidR="009253CF">
        <w:t xml:space="preserve">) is gepresenteerd </w:t>
      </w:r>
      <w:r w:rsidR="00B15B92">
        <w:t xml:space="preserve"> weergegeven</w:t>
      </w:r>
      <w:r w:rsidR="0085108A">
        <w:t>.</w:t>
      </w:r>
      <w:r w:rsidR="009253CF">
        <w:t xml:space="preserve"> Het door Olsthoorn weergegeven verloop geeft</w:t>
      </w:r>
      <w:r w:rsidR="00D955B2">
        <w:t xml:space="preserve"> bijvoorbeeld</w:t>
      </w:r>
      <w:r w:rsidR="009253CF">
        <w:t xml:space="preserve"> voor de</w:t>
      </w:r>
      <w:r w:rsidR="00CA5AC3">
        <w:t xml:space="preserve"> afvoer </w:t>
      </w:r>
      <w:r w:rsidR="00CA5AC3">
        <w:rPr>
          <w:i/>
        </w:rPr>
        <w:t>U=0</w:t>
      </w:r>
      <w:r w:rsidR="00CA5AC3">
        <w:t xml:space="preserve"> een drainagebasis van</w:t>
      </w:r>
      <w:r w:rsidR="006E6790">
        <w:t xml:space="preserve"> ongeveer 1,85</w:t>
      </w:r>
      <w:r w:rsidR="00CA5AC3">
        <w:t xml:space="preserve"> meter waar</w:t>
      </w:r>
      <w:r w:rsidR="00176159">
        <w:t xml:space="preserve"> dit, zoals eerder berekend,</w:t>
      </w:r>
      <w:r w:rsidR="00CA5AC3">
        <w:t xml:space="preserve"> 2,08 meter moet zijn. Dit verschil maakt veel uit voor een goede fit en de conclusie van Olsthoorn dat de fit voor het gehele verloop van de logaritmische relatie </w:t>
      </w:r>
      <w:r w:rsidR="00D955B2">
        <w:t>in feite matig is, is daarmee onjuist.</w:t>
      </w:r>
      <w:r w:rsidR="00AF5859">
        <w:t xml:space="preserve"> Bovendien is het correcter om het verloop te laten eindigen voor U=0, het is onzin om de relatie in de grafiek door te zetten voor negatieve afvoeren.</w:t>
      </w:r>
      <w:r w:rsidR="0085108A">
        <w:t xml:space="preserve"> Wellicht heeft Olsthoorn een rek</w:t>
      </w:r>
      <w:r w:rsidR="00B15B92">
        <w:t>enfout gemaakt, die z</w:t>
      </w:r>
      <w:r w:rsidR="006E4D7B">
        <w:t xml:space="preserve">onder al te veel moeite </w:t>
      </w:r>
      <w:r w:rsidR="00B15B92">
        <w:t xml:space="preserve"> rechtgezet kan worden.</w:t>
      </w:r>
    </w:p>
    <w:p w:rsidR="00D955B2" w:rsidRDefault="00B15B92" w:rsidP="00931533">
      <w:r>
        <w:t>Wel is het uitermate pijnlijk dat juist de constatering</w:t>
      </w:r>
      <w:r w:rsidR="00176159">
        <w:t>,</w:t>
      </w:r>
      <w:r>
        <w:t xml:space="preserve"> dat de logaritmische U/h relat</w:t>
      </w:r>
      <w:r w:rsidR="00750B7C">
        <w:t>ie een matige fit geeft</w:t>
      </w:r>
      <w:r w:rsidR="00176159">
        <w:t>,</w:t>
      </w:r>
      <w:r w:rsidR="00750B7C">
        <w:t xml:space="preserve"> voor Olsthoorn</w:t>
      </w:r>
      <w:r>
        <w:t xml:space="preserve"> de aanleiding is om enkele andere relaties voor te stellen en uit te werken. De fit van deze relaties is uiteindelijk een stuk slechter dan</w:t>
      </w:r>
      <w:r w:rsidR="0044080B">
        <w:t xml:space="preserve"> die met</w:t>
      </w:r>
      <w:r>
        <w:t xml:space="preserve"> de correcte logaritmische relatie</w:t>
      </w:r>
      <w:r w:rsidR="00D955B2">
        <w:t>. Daar komt nog bij dat met de relaties die Olsthoorn voorstelt niet wordt voldaan aan de harde fysische eis dat er een realistische drainagebasis</w:t>
      </w:r>
      <w:r w:rsidR="00607BD9">
        <w:t xml:space="preserve"> moet bestaan</w:t>
      </w:r>
      <w:r w:rsidR="00D955B2">
        <w:t>. Hij bagatelliseert dit probleem maa</w:t>
      </w:r>
      <w:r w:rsidR="007B3D2B">
        <w:t xml:space="preserve">r het is in tegenspraak met zijn intentie om tot een correcte fysische onderbouwing te komen.  </w:t>
      </w:r>
      <w:r w:rsidR="00D955B2">
        <w:t xml:space="preserve"> </w:t>
      </w:r>
    </w:p>
    <w:p w:rsidR="00BE3F00" w:rsidRDefault="0044080B" w:rsidP="00931533">
      <w:r>
        <w:t>Daarmee is ook de conclusie dat voor de drainageweerstand een kwadratische toename met de grondwaterdiepte verwacht mag worden zeer discutabel.</w:t>
      </w:r>
      <w:r w:rsidR="005F082E">
        <w:t xml:space="preserve"> In afbeelding 3 is het door Olsthoorn bepaalde kwadratische verloop aangegeven. </w:t>
      </w:r>
      <w:r w:rsidR="00FC186E">
        <w:t xml:space="preserve"> Bovendien zullen</w:t>
      </w:r>
      <w:r w:rsidR="00886A9B">
        <w:t xml:space="preserve"> in het geval van een kwadratische toename</w:t>
      </w:r>
      <w:r w:rsidR="00750B7C">
        <w:t xml:space="preserve"> onwaarschijnlijk grote verlagingen </w:t>
      </w:r>
      <w:r w:rsidR="00886A9B">
        <w:t>berekend worden bij een</w:t>
      </w:r>
      <w:r w:rsidR="00750B7C">
        <w:t xml:space="preserve"> onttrekking uit het diepe pakket</w:t>
      </w:r>
      <w:r w:rsidR="00886A9B">
        <w:t xml:space="preserve"> b</w:t>
      </w:r>
      <w:r w:rsidR="00750B7C">
        <w:t xml:space="preserve">ijvoorbeeld in  de rekenexercitie in Olsthoorn </w:t>
      </w:r>
      <w:r w:rsidR="00A85A71">
        <w:t>(2014</w:t>
      </w:r>
      <w:r w:rsidR="006E6790">
        <w:t xml:space="preserve"> a</w:t>
      </w:r>
      <w:r w:rsidR="00A85A71">
        <w:t>)</w:t>
      </w:r>
      <w:r w:rsidR="00176159">
        <w:t>. In dit artikel wordt met een drainageweerstand</w:t>
      </w:r>
      <w:r w:rsidR="00A85A71">
        <w:t xml:space="preserve"> gerekend van 132 dagen. Zou daar</w:t>
      </w:r>
      <w:r w:rsidR="00176159">
        <w:t xml:space="preserve"> echter</w:t>
      </w:r>
      <w:r w:rsidR="00A85A71">
        <w:t xml:space="preserve"> zijn uitgegaan van een kwadratische toename van de drainageweerstand dan is op de</w:t>
      </w:r>
      <w:r w:rsidR="00BE3F00">
        <w:t xml:space="preserve"> diepte van de GLG een drainage</w:t>
      </w:r>
      <w:r w:rsidR="00A85A71">
        <w:t>weerstand van ongeveer 3000 dagen te verwachten. Dat wil zeggen</w:t>
      </w:r>
      <w:r w:rsidR="009D0BD9">
        <w:t xml:space="preserve"> dat Olsthoorn in dat geval zoveel grotere verlagingen zou berekenen</w:t>
      </w:r>
      <w:r w:rsidR="00BE3F00">
        <w:t>,</w:t>
      </w:r>
      <w:r w:rsidR="009D0BD9">
        <w:t xml:space="preserve"> dat de gemeten </w:t>
      </w:r>
      <w:r w:rsidR="00BE3F00">
        <w:t xml:space="preserve"> totale verlagingen, dus inclusief de zogenoemde achtergrondverlaging, </w:t>
      </w:r>
      <w:r w:rsidR="00886A9B">
        <w:t>door</w:t>
      </w:r>
      <w:r w:rsidR="009D0BD9">
        <w:t xml:space="preserve"> de onttrekking zou</w:t>
      </w:r>
      <w:r w:rsidR="00BE3F00">
        <w:t>den</w:t>
      </w:r>
      <w:r w:rsidR="009D0BD9">
        <w:t xml:space="preserve"> worden overschreden.</w:t>
      </w:r>
    </w:p>
    <w:p w:rsidR="00BE3F00" w:rsidRDefault="00BE3F00" w:rsidP="00931533"/>
    <w:p w:rsidR="00A71030" w:rsidRDefault="00BE3F00" w:rsidP="00931533">
      <w:r>
        <w:t xml:space="preserve">Ten derde probeert Olsthoorn met een simulatie aan te tonen dat een lineaire toename van de drainageweerstand </w:t>
      </w:r>
      <w:r w:rsidR="00BB7088">
        <w:t>met een lagere</w:t>
      </w:r>
      <w:r>
        <w:t xml:space="preserve"> freatische grondwaterstand</w:t>
      </w:r>
      <w:r w:rsidR="00A71030">
        <w:t xml:space="preserve"> niet gevonden wordt.</w:t>
      </w:r>
    </w:p>
    <w:p w:rsidR="001361D1" w:rsidRDefault="00A71030" w:rsidP="00931533">
      <w:r>
        <w:t>Olsthoorn definieert hiertoe een situatie met een freatisch pakket met daarin een zestal drainageniveaus. Daar wordt uitgegaan van één watervoerend pakket is dus feitelijk  de c-waarde  van de onderliggende laag oneindig groot. De dikte van het pakket is 3 meter</w:t>
      </w:r>
      <w:r w:rsidR="001361D1">
        <w:t xml:space="preserve"> en het doorlaatvermogen 10 m</w:t>
      </w:r>
      <w:r w:rsidR="001361D1">
        <w:rPr>
          <w:vertAlign w:val="superscript"/>
        </w:rPr>
        <w:t>2</w:t>
      </w:r>
      <w:r w:rsidR="001361D1">
        <w:t xml:space="preserve">/dag. </w:t>
      </w:r>
    </w:p>
    <w:p w:rsidR="007B3D2B" w:rsidRDefault="001361D1" w:rsidP="00931533">
      <w:r>
        <w:t xml:space="preserve">In een dergelijk systeem zou men verwachten dat grondwatertrappen worden aangetroffen van klasse II of III. Olsthoorn stuurt echter de grondwaterstanden over een strookbreedte van 800 m met randsloten waarin hij een bijna Dirichlet randvoorwaarde definieert. De diepste waterstand </w:t>
      </w:r>
      <w:r w:rsidR="00176159">
        <w:t xml:space="preserve">in deze randsloot </w:t>
      </w:r>
      <w:r>
        <w:t>is 2,5 m minus maaiveld en de hoogste waterstand 2 m minus maaiveld.</w:t>
      </w:r>
      <w:r w:rsidR="00717B94">
        <w:t xml:space="preserve"> Dit levert een situatie op die niet in werkelijkheid zal worden aangetroffen. Bovendien voldoet de doorgerekende situatie in het geheel niet aan de geohydrologische situatie waarvoor de U/h relaties zijn opgesteld en</w:t>
      </w:r>
      <w:r w:rsidR="00886A9B">
        <w:t xml:space="preserve"> waarvoor</w:t>
      </w:r>
      <w:r w:rsidR="00717B94">
        <w:t xml:space="preserve"> d</w:t>
      </w:r>
      <w:r w:rsidR="00886A9B">
        <w:t>e gemeten U/h relatie van Ernst geldt.</w:t>
      </w:r>
      <w:r w:rsidR="00BB7088">
        <w:t xml:space="preserve"> Een belangrijke voorwaarde was immers dat de horizontale stroming te verwaarlozen was. In het geval van alleen een freatisch pakket betekent dit een onmogelijke en betekenisloze situatie. Er kan nooit voldaan worden aan deze voorwaarde.</w:t>
      </w:r>
    </w:p>
    <w:p w:rsidR="004B7FD0" w:rsidRDefault="007B3D2B" w:rsidP="00931533">
      <w:r>
        <w:t xml:space="preserve">Het staat Olsthoorn natuurlijk vrij om elke geohydrologische situatie numeriek door te rekenen en daaruit conclusies te trekken. Het trekken van </w:t>
      </w:r>
      <w:r w:rsidR="004B7FD0">
        <w:t>de conclusie dat op basis van deze specifieke rekenexercitie kan worden aangetoond dat er geen lineaire toename van de drainageweerstand bij lagere grondwaterstanden plaatsvindt, is zonder meer onjuist.</w:t>
      </w:r>
    </w:p>
    <w:p w:rsidR="00C25E90" w:rsidRDefault="00854F1D" w:rsidP="00C25E90">
      <w:r>
        <w:t>Wil een numerieke berekening bijdrag</w:t>
      </w:r>
      <w:r w:rsidR="00176159">
        <w:t>en aan het begrijpen en</w:t>
      </w:r>
      <w:r>
        <w:t xml:space="preserve"> verifiëren van ontwikkelde rekenmethoden en analytische formules dan zal in het rekenmodel tenminste rekening moeten worden gehouden met de correcte geohydrologische schematisering en ranges in bijvoorbeeld bodemconstanten.   </w:t>
      </w:r>
      <w:r w:rsidR="004B7FD0">
        <w:t xml:space="preserve">    </w:t>
      </w:r>
      <w:r w:rsidR="00BB7088">
        <w:t xml:space="preserve"> </w:t>
      </w:r>
      <w:r w:rsidR="00A71030">
        <w:t xml:space="preserve">  </w:t>
      </w:r>
      <w:r w:rsidR="00BE3F00">
        <w:t xml:space="preserve">   </w:t>
      </w:r>
      <w:r w:rsidR="009D0BD9">
        <w:t xml:space="preserve"> </w:t>
      </w:r>
      <w:r w:rsidR="00750B7C">
        <w:t xml:space="preserve">  </w:t>
      </w:r>
      <w:r w:rsidR="0044080B">
        <w:t xml:space="preserve">  </w:t>
      </w:r>
      <w:r w:rsidR="00B15B92">
        <w:t xml:space="preserve"> </w:t>
      </w:r>
    </w:p>
    <w:p w:rsidR="00CF3A3F" w:rsidRDefault="004E7468" w:rsidP="00C235BF">
      <w:pPr>
        <w:pStyle w:val="Kop2"/>
      </w:pPr>
      <w:r>
        <w:t>Aanbevelingen</w:t>
      </w:r>
    </w:p>
    <w:p w:rsidR="008C26A0" w:rsidRDefault="00B564DE" w:rsidP="004E7468">
      <w:r>
        <w:t xml:space="preserve">Dit artikel is geschreven vanuit de noodzaak om de uitgangspunten voor het opstellen en gebruiken van de logaritmische U/h relatie voor vrij afwaterende gebieden nog eens duidelijk neer te zetten. Het is namelijk gebleken dat in de reacties op mijn artikelen een stevig aantal missers is gemaakt, </w:t>
      </w:r>
      <w:r w:rsidR="00465D82">
        <w:t xml:space="preserve">deels </w:t>
      </w:r>
      <w:r>
        <w:t>wellicht te wijten aan</w:t>
      </w:r>
      <w:r w:rsidR="00465D82">
        <w:t xml:space="preserve"> mijn presentatie, maar zeker spelen ook andere factoren een rol. In ieder geval verdient het aanbeveling dat, indien wordt gereageerd op een artikel, contact wordt opgenomen met de auteur op wiens artike</w:t>
      </w:r>
      <w:r w:rsidR="008323B5">
        <w:t>l men reageert. Het is bijna vanzelfsprekend dat, zeker in het geval men elkaar goed kent, wordt aangegeven waarop men wil reageren en dat een concept artikel wordt toegezonden. Hiermee kunnen</w:t>
      </w:r>
      <w:r w:rsidR="006C6CA1">
        <w:t xml:space="preserve"> in ieder geval</w:t>
      </w:r>
      <w:r w:rsidR="008323B5">
        <w:t xml:space="preserve"> storende onzorgvuldigheden worden voorkomen </w:t>
      </w:r>
      <w:r w:rsidR="006C6CA1">
        <w:t>en wordt vermeden dat een tegenreactie nodig is om één en ander recht te zetten.</w:t>
      </w:r>
    </w:p>
    <w:p w:rsidR="005F32D5" w:rsidRDefault="005F32D5" w:rsidP="004E7468"/>
    <w:p w:rsidR="005F32D5" w:rsidRDefault="005F32D5" w:rsidP="005F32D5">
      <w:pPr>
        <w:pStyle w:val="Kop2"/>
      </w:pPr>
      <w:r>
        <w:t>Conclusies</w:t>
      </w:r>
    </w:p>
    <w:p w:rsidR="001E66F5" w:rsidRDefault="001E66F5" w:rsidP="001E66F5"/>
    <w:p w:rsidR="001E66F5" w:rsidRDefault="001E66F5" w:rsidP="001E66F5">
      <w:pPr>
        <w:pStyle w:val="Lijstalinea"/>
        <w:numPr>
          <w:ilvl w:val="0"/>
          <w:numId w:val="3"/>
        </w:numPr>
      </w:pPr>
      <w:r>
        <w:t>Een hyperbolische overdrachtsfactor en de daaruit volgende logaritmische U/h relatie vormen een goede basis voor het berekenen van verlagingen door onttrekkingen in vrij afwaterende gebieden in geohydrologische situaties zoals aangenomen in deze publicatie.</w:t>
      </w:r>
    </w:p>
    <w:p w:rsidR="006D7255" w:rsidRDefault="001E66F5" w:rsidP="001E66F5">
      <w:pPr>
        <w:pStyle w:val="Lijstalinea"/>
        <w:numPr>
          <w:ilvl w:val="0"/>
          <w:numId w:val="3"/>
        </w:numPr>
      </w:pPr>
      <w:r>
        <w:t>Voor een  fysische onderbouwing van de ontwikkelde rekenmethodiek is de</w:t>
      </w:r>
      <w:r w:rsidR="006D7255">
        <w:t xml:space="preserve"> aanwezigheid en het niveau van de regionale drainagebasis belangrijk.</w:t>
      </w:r>
    </w:p>
    <w:p w:rsidR="006D7255" w:rsidRDefault="006D7255" w:rsidP="001E66F5">
      <w:pPr>
        <w:pStyle w:val="Lijstalinea"/>
        <w:numPr>
          <w:ilvl w:val="0"/>
          <w:numId w:val="3"/>
        </w:numPr>
      </w:pPr>
      <w:r>
        <w:t>De maximale waarde van de drainageweerstand, die lineair toeneemt met de grondwaterstandsdiepte, wordt gevonden op het niveau van de drainagebasis.</w:t>
      </w:r>
    </w:p>
    <w:p w:rsidR="00492815" w:rsidRDefault="006D7255" w:rsidP="001E66F5">
      <w:pPr>
        <w:pStyle w:val="Lijstalinea"/>
        <w:numPr>
          <w:ilvl w:val="0"/>
          <w:numId w:val="3"/>
        </w:numPr>
      </w:pPr>
      <w:r>
        <w:t>De maximale waarde voor de overdrachtsfactor geldt op het niveau van de drainagebasis binnen het traject waarvoor de rekenmethodiek is ontwikkeld. Onder de drainagebasis is een Dupuit situatie aanwezig waar de overdrachtsfactor de waarde 1 heeft.</w:t>
      </w:r>
    </w:p>
    <w:p w:rsidR="00E85686" w:rsidRDefault="00492815" w:rsidP="001E66F5">
      <w:pPr>
        <w:pStyle w:val="Lijstalinea"/>
        <w:numPr>
          <w:ilvl w:val="0"/>
          <w:numId w:val="3"/>
        </w:numPr>
      </w:pPr>
      <w:r>
        <w:t xml:space="preserve">De analyse in Olsthoorn (2014 b) </w:t>
      </w:r>
      <w:r w:rsidR="00371CC5">
        <w:t>leidt tot een foutieve bepaling van de drainageweerstanden</w:t>
      </w:r>
      <w:r w:rsidR="00E85686">
        <w:t>. De voorgestelde kwadratische toename met de grondwaterstandsdiepte heeft tot gevolg dat onwaarschijnlijk grote verlagingen van met name de GLG worden berekend als gevolg van grondwateronttrekkingen.</w:t>
      </w:r>
    </w:p>
    <w:p w:rsidR="001E66F5" w:rsidRPr="001E66F5" w:rsidRDefault="00E85686" w:rsidP="001E66F5">
      <w:pPr>
        <w:pStyle w:val="Lijstalinea"/>
        <w:numPr>
          <w:ilvl w:val="0"/>
          <w:numId w:val="3"/>
        </w:numPr>
      </w:pPr>
      <w:r>
        <w:t>Het veronachtzamen van de regionale drainagebasis leidt in Olsthoorn (2014 b) tot een niet correcte fysische onderbouwing van d</w:t>
      </w:r>
      <w:r w:rsidR="00777DE4">
        <w:t>e door hem voorgestelde U/h rela</w:t>
      </w:r>
      <w:r>
        <w:t>tie.</w:t>
      </w:r>
      <w:r w:rsidR="006D7255">
        <w:t xml:space="preserve">  </w:t>
      </w:r>
    </w:p>
    <w:p w:rsidR="001E66F5" w:rsidRDefault="001E66F5" w:rsidP="001E66F5"/>
    <w:p w:rsidR="008C26A0" w:rsidRDefault="008C26A0" w:rsidP="004E7468"/>
    <w:p w:rsidR="008C26A0" w:rsidRDefault="008C26A0" w:rsidP="008C26A0">
      <w:pPr>
        <w:pStyle w:val="Kop2"/>
        <w:rPr>
          <w:rFonts w:eastAsiaTheme="minorEastAsia"/>
        </w:rPr>
      </w:pPr>
      <w:r>
        <w:rPr>
          <w:rFonts w:eastAsiaTheme="minorEastAsia"/>
        </w:rPr>
        <w:t>Referenties</w:t>
      </w:r>
    </w:p>
    <w:p w:rsidR="008C26A0" w:rsidRDefault="008C26A0" w:rsidP="008C26A0">
      <w:pPr>
        <w:rPr>
          <w:rFonts w:eastAsiaTheme="minorEastAsia"/>
          <w:b/>
        </w:rPr>
      </w:pPr>
    </w:p>
    <w:p w:rsidR="008C26A0" w:rsidRDefault="008C26A0" w:rsidP="008C26A0">
      <w:pPr>
        <w:rPr>
          <w:rFonts w:eastAsiaTheme="minorEastAsia"/>
        </w:rPr>
      </w:pPr>
      <w:r>
        <w:rPr>
          <w:rFonts w:eastAsiaTheme="minorEastAsia"/>
          <w:b/>
        </w:rPr>
        <w:t xml:space="preserve">Akker,  C. van den </w:t>
      </w:r>
      <w:r>
        <w:rPr>
          <w:rFonts w:eastAsiaTheme="minorEastAsia"/>
        </w:rPr>
        <w:t>(2013)</w:t>
      </w:r>
      <w:r>
        <w:rPr>
          <w:rFonts w:eastAsiaTheme="minorEastAsia"/>
          <w:b/>
        </w:rPr>
        <w:t xml:space="preserve"> </w:t>
      </w:r>
      <w:r>
        <w:rPr>
          <w:rFonts w:eastAsiaTheme="minorEastAsia"/>
        </w:rPr>
        <w:t>Tussen Dupuit en De Glee; in:</w:t>
      </w:r>
      <w:r>
        <w:rPr>
          <w:rFonts w:eastAsiaTheme="minorEastAsia"/>
          <w:b/>
        </w:rPr>
        <w:t xml:space="preserve"> </w:t>
      </w:r>
      <w:r>
        <w:rPr>
          <w:rFonts w:eastAsiaTheme="minorEastAsia"/>
        </w:rPr>
        <w:t>Stromingen JRG 19 nr 2</w:t>
      </w:r>
    </w:p>
    <w:p w:rsidR="008C26A0" w:rsidRDefault="008C26A0" w:rsidP="008C26A0">
      <w:pPr>
        <w:rPr>
          <w:rFonts w:eastAsiaTheme="minorEastAsia"/>
          <w:b/>
        </w:rPr>
      </w:pPr>
      <w:r>
        <w:rPr>
          <w:rFonts w:eastAsiaTheme="minorEastAsia"/>
        </w:rPr>
        <w:t xml:space="preserve">  </w:t>
      </w:r>
    </w:p>
    <w:p w:rsidR="008C26A0" w:rsidRDefault="008C26A0" w:rsidP="008C26A0">
      <w:r>
        <w:rPr>
          <w:b/>
        </w:rPr>
        <w:t xml:space="preserve">Akker,  C. van den </w:t>
      </w:r>
      <w:r>
        <w:t>(2014</w:t>
      </w:r>
      <w:r w:rsidR="00C3564F">
        <w:t xml:space="preserve"> a</w:t>
      </w:r>
      <w:r>
        <w:t>)  Een fysische onderbouwing van de overdrachtsfactor; in: Stromingen JRG 20 nr 1</w:t>
      </w:r>
    </w:p>
    <w:p w:rsidR="0045539D" w:rsidRDefault="0045539D" w:rsidP="008C26A0"/>
    <w:p w:rsidR="0045539D" w:rsidRPr="0045539D" w:rsidRDefault="0045539D" w:rsidP="008C26A0">
      <w:r>
        <w:rPr>
          <w:b/>
        </w:rPr>
        <w:t xml:space="preserve">Akker,  C. van den </w:t>
      </w:r>
      <w:r>
        <w:t>(2014</w:t>
      </w:r>
      <w:r w:rsidR="00C3564F">
        <w:t xml:space="preserve"> b</w:t>
      </w:r>
      <w:r>
        <w:t>)  De verandering van de GXG door grondwateronttrekkingen in vrij afwaterende gebieden; in: Stromingen JRG 20 nr 3</w:t>
      </w:r>
    </w:p>
    <w:p w:rsidR="008C26A0" w:rsidRDefault="008C26A0" w:rsidP="008C26A0">
      <w:pPr>
        <w:rPr>
          <w:rFonts w:eastAsiaTheme="minorEastAsia"/>
          <w:b/>
        </w:rPr>
      </w:pPr>
    </w:p>
    <w:p w:rsidR="008C26A0" w:rsidRDefault="008C26A0" w:rsidP="008C26A0">
      <w:pPr>
        <w:rPr>
          <w:rFonts w:eastAsiaTheme="minorEastAsia"/>
        </w:rPr>
      </w:pPr>
      <w:r>
        <w:rPr>
          <w:rFonts w:eastAsiaTheme="minorEastAsia"/>
          <w:b/>
        </w:rPr>
        <w:t>Ernst,  L.F.</w:t>
      </w:r>
      <w:r>
        <w:rPr>
          <w:rFonts w:eastAsiaTheme="minorEastAsia"/>
        </w:rPr>
        <w:t xml:space="preserve"> (1971) Analysis of groundwater flow to deep wells in areas with a non-linear function for the subsurface drainage; in</w:t>
      </w:r>
      <w:r>
        <w:rPr>
          <w:rFonts w:eastAsiaTheme="minorEastAsia"/>
          <w:i/>
        </w:rPr>
        <w:t xml:space="preserve">: </w:t>
      </w:r>
      <w:r>
        <w:rPr>
          <w:rFonts w:eastAsiaTheme="minorEastAsia"/>
        </w:rPr>
        <w:t>Journal of Hydrology 14</w:t>
      </w:r>
    </w:p>
    <w:p w:rsidR="008C26A0" w:rsidRDefault="008C26A0" w:rsidP="008C26A0">
      <w:pPr>
        <w:rPr>
          <w:rFonts w:eastAsiaTheme="minorEastAsia"/>
        </w:rPr>
      </w:pPr>
    </w:p>
    <w:p w:rsidR="008C26A0" w:rsidRDefault="008C26A0" w:rsidP="008C26A0">
      <w:pPr>
        <w:rPr>
          <w:rFonts w:eastAsiaTheme="minorEastAsia"/>
        </w:rPr>
      </w:pPr>
      <w:r>
        <w:rPr>
          <w:rFonts w:eastAsiaTheme="minorEastAsia"/>
          <w:b/>
        </w:rPr>
        <w:t>Maas, C.</w:t>
      </w:r>
      <w:r>
        <w:rPr>
          <w:rFonts w:eastAsiaTheme="minorEastAsia"/>
        </w:rPr>
        <w:t xml:space="preserve"> (2012) Het geval Terwisscha; in: Stromingen JRG 18 nr 2 </w:t>
      </w:r>
    </w:p>
    <w:p w:rsidR="008C26A0" w:rsidRDefault="008C26A0" w:rsidP="008C26A0"/>
    <w:p w:rsidR="008C26A0" w:rsidRDefault="008C26A0" w:rsidP="008C26A0">
      <w:r>
        <w:rPr>
          <w:b/>
        </w:rPr>
        <w:t xml:space="preserve">Olsthoorn,  T.  </w:t>
      </w:r>
      <w:r>
        <w:t>(2014</w:t>
      </w:r>
      <w:r w:rsidR="00C3564F">
        <w:t xml:space="preserve"> a</w:t>
      </w:r>
      <w:r>
        <w:t>)  De dynamica van de verlaging van Terwisscha of in vergelijkbare situaties; in: Stromingen</w:t>
      </w:r>
      <w:r>
        <w:rPr>
          <w:i/>
        </w:rPr>
        <w:t xml:space="preserve"> </w:t>
      </w:r>
      <w:r>
        <w:t>JRG 20 nr 1</w:t>
      </w:r>
    </w:p>
    <w:p w:rsidR="0045539D" w:rsidRDefault="0045539D" w:rsidP="008C26A0"/>
    <w:p w:rsidR="0045539D" w:rsidRPr="0045539D" w:rsidRDefault="0045539D" w:rsidP="008C26A0">
      <w:r>
        <w:rPr>
          <w:b/>
        </w:rPr>
        <w:t>Olsthoorn,  T.</w:t>
      </w:r>
      <w:r>
        <w:t xml:space="preserve">  (2014</w:t>
      </w:r>
      <w:r w:rsidR="00C3564F">
        <w:t xml:space="preserve"> b</w:t>
      </w:r>
      <w:r>
        <w:t>)  De fysische onderbouwing van de overdrachtsfactor nader bekeken</w:t>
      </w:r>
      <w:r w:rsidR="004B47B0">
        <w:t>; in: Stromingen JRG 20 nr 3</w:t>
      </w:r>
    </w:p>
    <w:p w:rsidR="008C26A0" w:rsidRDefault="008C26A0" w:rsidP="008C26A0"/>
    <w:p w:rsidR="004E7468" w:rsidRPr="004E7468" w:rsidRDefault="00B564DE" w:rsidP="004E7468">
      <w:r>
        <w:t xml:space="preserve"> </w:t>
      </w:r>
    </w:p>
    <w:p w:rsidR="00C25E90" w:rsidRDefault="00C25E90" w:rsidP="0079546C"/>
    <w:p w:rsidR="00F15FDE" w:rsidRDefault="00F15FDE" w:rsidP="00461BE5">
      <w:pPr>
        <w:rPr>
          <w:rStyle w:val="TabelTEKSTLucidaSans7pt"/>
          <w:sz w:val="16"/>
          <w:szCs w:val="16"/>
        </w:rPr>
      </w:pPr>
      <w:r>
        <w:rPr>
          <w:rStyle w:val="TabelTEKSTLucidaSans7pt"/>
          <w:sz w:val="16"/>
          <w:szCs w:val="16"/>
        </w:rPr>
        <w:br w:type="page"/>
      </w:r>
    </w:p>
    <w:p w:rsidR="00F15FDE" w:rsidRDefault="00F15FDE" w:rsidP="00461BE5">
      <w:pPr>
        <w:rPr>
          <w:rStyle w:val="TabelTEKSTLucidaSans7pt"/>
          <w:sz w:val="16"/>
          <w:szCs w:val="16"/>
        </w:rPr>
      </w:pPr>
    </w:p>
    <w:p w:rsidR="005330E0" w:rsidRDefault="005330E0" w:rsidP="00461BE5">
      <w:pPr>
        <w:rPr>
          <w:rStyle w:val="TabelTEKSTLucidaSans7pt"/>
          <w:sz w:val="16"/>
          <w:szCs w:val="16"/>
        </w:rPr>
      </w:pPr>
    </w:p>
    <w:p w:rsidR="005D6824" w:rsidRPr="005D6824" w:rsidRDefault="005D6824" w:rsidP="005D6824">
      <w:pPr>
        <w:rPr>
          <w:rStyle w:val="TabelTEKSTLucidaSans7pt"/>
          <w:sz w:val="16"/>
          <w:szCs w:val="16"/>
        </w:rPr>
      </w:pPr>
    </w:p>
    <w:p w:rsidR="00724527" w:rsidRPr="00461BE5" w:rsidRDefault="00724527" w:rsidP="00461BE5">
      <w:pPr>
        <w:rPr>
          <w:szCs w:val="16"/>
        </w:rPr>
      </w:pPr>
    </w:p>
    <w:p w:rsidR="00724527" w:rsidRDefault="00724527" w:rsidP="00680AFC"/>
    <w:sectPr w:rsidR="00724527" w:rsidSect="00E76DD3">
      <w:footerReference w:type="even" r:id="rId14"/>
      <w:footerReference w:type="default" r:id="rId15"/>
      <w:pgSz w:w="9463" w:h="13495" w:code="9"/>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732A" w:rsidRDefault="0049732A">
      <w:r>
        <w:separator/>
      </w:r>
    </w:p>
  </w:endnote>
  <w:endnote w:type="continuationSeparator" w:id="0">
    <w:p w:rsidR="0049732A" w:rsidRDefault="00497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altName w:val="Lucida Sans Unicode"/>
    <w:charset w:val="00"/>
    <w:family w:val="swiss"/>
    <w:pitch w:val="variable"/>
    <w:sig w:usb0="00000003" w:usb1="00000000" w:usb2="00000000" w:usb3="00000000" w:csb0="00000001" w:csb1="00000000"/>
  </w:font>
  <w:font w:name="LucidaSans-Dem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Sans">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8FB" w:rsidRDefault="006F68FB" w:rsidP="00532F01">
    <w:pPr>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2</w:t>
    </w:r>
    <w:r>
      <w:rPr>
        <w:rStyle w:val="Paginanummer"/>
      </w:rPr>
      <w:fldChar w:fldCharType="end"/>
    </w:r>
  </w:p>
  <w:p w:rsidR="006F68FB" w:rsidRDefault="006F68FB" w:rsidP="006E172D">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8FB" w:rsidRDefault="006F68FB" w:rsidP="00037BFF">
    <w:pPr>
      <w:framePr w:wrap="around" w:vAnchor="text" w:hAnchor="margin" w:xAlign="outside" w:y="568"/>
      <w:rPr>
        <w:rStyle w:val="Paginanummer"/>
      </w:rPr>
    </w:pPr>
    <w:r>
      <w:rPr>
        <w:rStyle w:val="Paginanummer"/>
      </w:rPr>
      <w:fldChar w:fldCharType="begin"/>
    </w:r>
    <w:r>
      <w:rPr>
        <w:rStyle w:val="Paginanummer"/>
      </w:rPr>
      <w:instrText xml:space="preserve">PAGE  </w:instrText>
    </w:r>
    <w:r>
      <w:rPr>
        <w:rStyle w:val="Paginanummer"/>
      </w:rPr>
      <w:fldChar w:fldCharType="separate"/>
    </w:r>
    <w:r w:rsidR="00BF0CF0">
      <w:rPr>
        <w:rStyle w:val="Paginanummer"/>
        <w:noProof/>
      </w:rPr>
      <w:t>1</w:t>
    </w:r>
    <w:r>
      <w:rPr>
        <w:rStyle w:val="Paginanummer"/>
      </w:rPr>
      <w:fldChar w:fldCharType="end"/>
    </w:r>
  </w:p>
  <w:p w:rsidR="006F68FB" w:rsidRDefault="006F68FB" w:rsidP="00037BFF">
    <w:pPr>
      <w:framePr w:wrap="around" w:vAnchor="text" w:hAnchor="margin" w:xAlign="inside" w:y="568"/>
      <w:ind w:right="360"/>
    </w:pPr>
    <w:r>
      <w:rPr>
        <w:rFonts w:ascii="LucidaSans" w:hAnsi="LucidaSans" w:cs="LucidaSans"/>
        <w:sz w:val="10"/>
        <w:szCs w:val="10"/>
      </w:rPr>
      <w:t>Stromingen 16 (2010) nummer 1</w:t>
    </w:r>
  </w:p>
  <w:p w:rsidR="006F68FB" w:rsidRDefault="006F68FB" w:rsidP="009823CB">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732A" w:rsidRDefault="0049732A">
      <w:r>
        <w:separator/>
      </w:r>
    </w:p>
  </w:footnote>
  <w:footnote w:type="continuationSeparator" w:id="0">
    <w:p w:rsidR="0049732A" w:rsidRDefault="0049732A">
      <w:r>
        <w:continuationSeparator/>
      </w:r>
    </w:p>
  </w:footnote>
  <w:footnote w:id="1">
    <w:p w:rsidR="006F68FB" w:rsidRPr="00B41F08" w:rsidRDefault="006F68FB" w:rsidP="00A97994">
      <w:pPr>
        <w:pStyle w:val="Voetnoottekst"/>
      </w:pPr>
      <w:r>
        <w:rPr>
          <w:rStyle w:val="Voetnootmarkering"/>
        </w:rPr>
        <w:footnoteRef/>
      </w:r>
      <w:r>
        <w:t xml:space="preserve"> </w:t>
      </w:r>
      <w:r>
        <w:rPr>
          <w:sz w:val="14"/>
          <w:szCs w:val="14"/>
        </w:rPr>
        <w:t>Prof.dr.ir. C. van den Akker (cvandenakker@casema.nl)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5009C3"/>
    <w:multiLevelType w:val="hybridMultilevel"/>
    <w:tmpl w:val="38E871C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3FE91500"/>
    <w:multiLevelType w:val="hybridMultilevel"/>
    <w:tmpl w:val="8D36FBA2"/>
    <w:lvl w:ilvl="0" w:tplc="E0327524">
      <w:start w:val="1"/>
      <w:numFmt w:val="bullet"/>
      <w:pStyle w:val="Bullets"/>
      <w:lvlText w:val=""/>
      <w:lvlJc w:val="left"/>
      <w:pPr>
        <w:tabs>
          <w:tab w:val="num" w:pos="284"/>
        </w:tabs>
        <w:ind w:left="284" w:hanging="284"/>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nsid w:val="7F3601B1"/>
    <w:multiLevelType w:val="hybridMultilevel"/>
    <w:tmpl w:val="8D24239E"/>
    <w:lvl w:ilvl="0" w:tplc="86D88E02">
      <w:numFmt w:val="bullet"/>
      <w:lvlText w:val="-"/>
      <w:lvlJc w:val="left"/>
      <w:pPr>
        <w:ind w:left="720" w:hanging="360"/>
      </w:pPr>
      <w:rPr>
        <w:rFonts w:ascii="Lucida Sans" w:eastAsia="Times New Roman" w:hAnsi="Lucida San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A3F"/>
    <w:rsid w:val="000025B8"/>
    <w:rsid w:val="00024E9D"/>
    <w:rsid w:val="0002559D"/>
    <w:rsid w:val="00037BFF"/>
    <w:rsid w:val="000455C6"/>
    <w:rsid w:val="000457A9"/>
    <w:rsid w:val="00050D75"/>
    <w:rsid w:val="000905AE"/>
    <w:rsid w:val="000A6346"/>
    <w:rsid w:val="000B4E1C"/>
    <w:rsid w:val="000D3BAB"/>
    <w:rsid w:val="000D5569"/>
    <w:rsid w:val="000F424C"/>
    <w:rsid w:val="00102026"/>
    <w:rsid w:val="00115F4D"/>
    <w:rsid w:val="00117143"/>
    <w:rsid w:val="00130B26"/>
    <w:rsid w:val="001361D1"/>
    <w:rsid w:val="00145002"/>
    <w:rsid w:val="00147135"/>
    <w:rsid w:val="00152115"/>
    <w:rsid w:val="0015787C"/>
    <w:rsid w:val="00157CB2"/>
    <w:rsid w:val="0016589E"/>
    <w:rsid w:val="00170F9D"/>
    <w:rsid w:val="001722FF"/>
    <w:rsid w:val="00176159"/>
    <w:rsid w:val="00184A7C"/>
    <w:rsid w:val="00186BF1"/>
    <w:rsid w:val="001A6A29"/>
    <w:rsid w:val="001A7294"/>
    <w:rsid w:val="001B5BB8"/>
    <w:rsid w:val="001C0054"/>
    <w:rsid w:val="001C3483"/>
    <w:rsid w:val="001C38EA"/>
    <w:rsid w:val="001C52DA"/>
    <w:rsid w:val="001C77D4"/>
    <w:rsid w:val="001D61F7"/>
    <w:rsid w:val="001E66F5"/>
    <w:rsid w:val="001F0B41"/>
    <w:rsid w:val="002031CC"/>
    <w:rsid w:val="00217B96"/>
    <w:rsid w:val="002349FA"/>
    <w:rsid w:val="0023649A"/>
    <w:rsid w:val="00240729"/>
    <w:rsid w:val="002459DE"/>
    <w:rsid w:val="00253739"/>
    <w:rsid w:val="0026238B"/>
    <w:rsid w:val="00265B75"/>
    <w:rsid w:val="00266E9C"/>
    <w:rsid w:val="00285C11"/>
    <w:rsid w:val="00286BE5"/>
    <w:rsid w:val="00292E46"/>
    <w:rsid w:val="002A1505"/>
    <w:rsid w:val="002A157E"/>
    <w:rsid w:val="002A4689"/>
    <w:rsid w:val="002B15AC"/>
    <w:rsid w:val="002B37AA"/>
    <w:rsid w:val="002B6FEB"/>
    <w:rsid w:val="002B7CA5"/>
    <w:rsid w:val="002D3E54"/>
    <w:rsid w:val="002D4CEE"/>
    <w:rsid w:val="002E1CA4"/>
    <w:rsid w:val="002E63CE"/>
    <w:rsid w:val="002F161A"/>
    <w:rsid w:val="00306BD9"/>
    <w:rsid w:val="00310EB0"/>
    <w:rsid w:val="00312966"/>
    <w:rsid w:val="003129CF"/>
    <w:rsid w:val="003172A5"/>
    <w:rsid w:val="0031787B"/>
    <w:rsid w:val="003247E4"/>
    <w:rsid w:val="00333A6A"/>
    <w:rsid w:val="00333C2A"/>
    <w:rsid w:val="003510D7"/>
    <w:rsid w:val="00364743"/>
    <w:rsid w:val="0036714F"/>
    <w:rsid w:val="00371CC5"/>
    <w:rsid w:val="00372867"/>
    <w:rsid w:val="00373941"/>
    <w:rsid w:val="003740D4"/>
    <w:rsid w:val="00374874"/>
    <w:rsid w:val="003858A2"/>
    <w:rsid w:val="0038743F"/>
    <w:rsid w:val="003A5973"/>
    <w:rsid w:val="003B1671"/>
    <w:rsid w:val="003C2C8E"/>
    <w:rsid w:val="003D30A9"/>
    <w:rsid w:val="003D3F8B"/>
    <w:rsid w:val="003D76E2"/>
    <w:rsid w:val="003E5EA3"/>
    <w:rsid w:val="003F00B5"/>
    <w:rsid w:val="003F0803"/>
    <w:rsid w:val="003F0DD4"/>
    <w:rsid w:val="003F3B0A"/>
    <w:rsid w:val="00401EE8"/>
    <w:rsid w:val="00405F48"/>
    <w:rsid w:val="0041312B"/>
    <w:rsid w:val="0044080B"/>
    <w:rsid w:val="0044424F"/>
    <w:rsid w:val="00445FD2"/>
    <w:rsid w:val="00455307"/>
    <w:rsid w:val="0045539D"/>
    <w:rsid w:val="00456321"/>
    <w:rsid w:val="00461BE5"/>
    <w:rsid w:val="0046220D"/>
    <w:rsid w:val="00465D82"/>
    <w:rsid w:val="004662DD"/>
    <w:rsid w:val="004713B2"/>
    <w:rsid w:val="00487F54"/>
    <w:rsid w:val="00492815"/>
    <w:rsid w:val="0049732A"/>
    <w:rsid w:val="00497D48"/>
    <w:rsid w:val="004A3460"/>
    <w:rsid w:val="004A3545"/>
    <w:rsid w:val="004B1A37"/>
    <w:rsid w:val="004B47B0"/>
    <w:rsid w:val="004B6FBE"/>
    <w:rsid w:val="004B7FD0"/>
    <w:rsid w:val="004C14FC"/>
    <w:rsid w:val="004C708D"/>
    <w:rsid w:val="004D02CB"/>
    <w:rsid w:val="004E6F1F"/>
    <w:rsid w:val="004E7468"/>
    <w:rsid w:val="004F0E8C"/>
    <w:rsid w:val="004F7F35"/>
    <w:rsid w:val="00512465"/>
    <w:rsid w:val="005131F7"/>
    <w:rsid w:val="00516842"/>
    <w:rsid w:val="00522C00"/>
    <w:rsid w:val="0052402F"/>
    <w:rsid w:val="00525389"/>
    <w:rsid w:val="00527426"/>
    <w:rsid w:val="00532F01"/>
    <w:rsid w:val="005330E0"/>
    <w:rsid w:val="005349A6"/>
    <w:rsid w:val="00534CD0"/>
    <w:rsid w:val="00537DFB"/>
    <w:rsid w:val="005414EF"/>
    <w:rsid w:val="00542BFF"/>
    <w:rsid w:val="00543DF5"/>
    <w:rsid w:val="0055076E"/>
    <w:rsid w:val="00555D55"/>
    <w:rsid w:val="00557239"/>
    <w:rsid w:val="005746BA"/>
    <w:rsid w:val="00585818"/>
    <w:rsid w:val="00586AE6"/>
    <w:rsid w:val="00593E30"/>
    <w:rsid w:val="005A4230"/>
    <w:rsid w:val="005B6B2C"/>
    <w:rsid w:val="005C07C8"/>
    <w:rsid w:val="005C1221"/>
    <w:rsid w:val="005C6142"/>
    <w:rsid w:val="005D6824"/>
    <w:rsid w:val="005E17D5"/>
    <w:rsid w:val="005E569E"/>
    <w:rsid w:val="005F082E"/>
    <w:rsid w:val="005F26E3"/>
    <w:rsid w:val="005F32D5"/>
    <w:rsid w:val="006007EE"/>
    <w:rsid w:val="0060107E"/>
    <w:rsid w:val="00607BD9"/>
    <w:rsid w:val="006134E3"/>
    <w:rsid w:val="00620C84"/>
    <w:rsid w:val="0062467F"/>
    <w:rsid w:val="00634215"/>
    <w:rsid w:val="006425A1"/>
    <w:rsid w:val="00655C6A"/>
    <w:rsid w:val="00656CCD"/>
    <w:rsid w:val="0066174E"/>
    <w:rsid w:val="0066554C"/>
    <w:rsid w:val="0067469B"/>
    <w:rsid w:val="00680AFC"/>
    <w:rsid w:val="00695380"/>
    <w:rsid w:val="00696013"/>
    <w:rsid w:val="006A2588"/>
    <w:rsid w:val="006A4601"/>
    <w:rsid w:val="006A52C6"/>
    <w:rsid w:val="006B49EB"/>
    <w:rsid w:val="006C00D3"/>
    <w:rsid w:val="006C3FBB"/>
    <w:rsid w:val="006C6156"/>
    <w:rsid w:val="006C6CA1"/>
    <w:rsid w:val="006D20F7"/>
    <w:rsid w:val="006D5CF9"/>
    <w:rsid w:val="006D7255"/>
    <w:rsid w:val="006E172D"/>
    <w:rsid w:val="006E2DB9"/>
    <w:rsid w:val="006E3D52"/>
    <w:rsid w:val="006E4D7B"/>
    <w:rsid w:val="006E6790"/>
    <w:rsid w:val="006E6DA4"/>
    <w:rsid w:val="006F68FB"/>
    <w:rsid w:val="0071720D"/>
    <w:rsid w:val="00717B94"/>
    <w:rsid w:val="00724527"/>
    <w:rsid w:val="0072515B"/>
    <w:rsid w:val="007252ED"/>
    <w:rsid w:val="0072691A"/>
    <w:rsid w:val="00745B7B"/>
    <w:rsid w:val="00750B7C"/>
    <w:rsid w:val="00760A93"/>
    <w:rsid w:val="007669E0"/>
    <w:rsid w:val="00766C71"/>
    <w:rsid w:val="00773276"/>
    <w:rsid w:val="00777DE4"/>
    <w:rsid w:val="007817F0"/>
    <w:rsid w:val="0078578E"/>
    <w:rsid w:val="00785E87"/>
    <w:rsid w:val="007875A3"/>
    <w:rsid w:val="00790A19"/>
    <w:rsid w:val="00794D8D"/>
    <w:rsid w:val="0079546C"/>
    <w:rsid w:val="00796D5D"/>
    <w:rsid w:val="007B1A77"/>
    <w:rsid w:val="007B3D2B"/>
    <w:rsid w:val="007C3CB5"/>
    <w:rsid w:val="007C6720"/>
    <w:rsid w:val="007D179D"/>
    <w:rsid w:val="007D4974"/>
    <w:rsid w:val="007D6275"/>
    <w:rsid w:val="007E05B2"/>
    <w:rsid w:val="007E521E"/>
    <w:rsid w:val="007F0602"/>
    <w:rsid w:val="007F7887"/>
    <w:rsid w:val="007F7D6B"/>
    <w:rsid w:val="00802339"/>
    <w:rsid w:val="00824C2D"/>
    <w:rsid w:val="008323B5"/>
    <w:rsid w:val="00837787"/>
    <w:rsid w:val="0085108A"/>
    <w:rsid w:val="00854F1D"/>
    <w:rsid w:val="008772D1"/>
    <w:rsid w:val="00883BA3"/>
    <w:rsid w:val="008868A5"/>
    <w:rsid w:val="00886A9B"/>
    <w:rsid w:val="0088753B"/>
    <w:rsid w:val="008A5951"/>
    <w:rsid w:val="008B195A"/>
    <w:rsid w:val="008B65C2"/>
    <w:rsid w:val="008B6750"/>
    <w:rsid w:val="008C26A0"/>
    <w:rsid w:val="008C4B31"/>
    <w:rsid w:val="008F1FCF"/>
    <w:rsid w:val="008F59F2"/>
    <w:rsid w:val="008F634F"/>
    <w:rsid w:val="009117EB"/>
    <w:rsid w:val="00924789"/>
    <w:rsid w:val="009253CF"/>
    <w:rsid w:val="00925887"/>
    <w:rsid w:val="00931533"/>
    <w:rsid w:val="0094039B"/>
    <w:rsid w:val="00942FB8"/>
    <w:rsid w:val="00945AA4"/>
    <w:rsid w:val="00955BAF"/>
    <w:rsid w:val="00957D6D"/>
    <w:rsid w:val="00960C11"/>
    <w:rsid w:val="009823CB"/>
    <w:rsid w:val="00985F2F"/>
    <w:rsid w:val="00991147"/>
    <w:rsid w:val="00993E32"/>
    <w:rsid w:val="009A6FBD"/>
    <w:rsid w:val="009B00C0"/>
    <w:rsid w:val="009C4637"/>
    <w:rsid w:val="009D0BD9"/>
    <w:rsid w:val="009D2A18"/>
    <w:rsid w:val="009D5F83"/>
    <w:rsid w:val="009E166D"/>
    <w:rsid w:val="009F61FB"/>
    <w:rsid w:val="00A16E38"/>
    <w:rsid w:val="00A23541"/>
    <w:rsid w:val="00A245E2"/>
    <w:rsid w:val="00A25D55"/>
    <w:rsid w:val="00A25DC7"/>
    <w:rsid w:val="00A2732B"/>
    <w:rsid w:val="00A31328"/>
    <w:rsid w:val="00A52128"/>
    <w:rsid w:val="00A63D40"/>
    <w:rsid w:val="00A71030"/>
    <w:rsid w:val="00A72DA7"/>
    <w:rsid w:val="00A7325B"/>
    <w:rsid w:val="00A75487"/>
    <w:rsid w:val="00A82EE4"/>
    <w:rsid w:val="00A85A71"/>
    <w:rsid w:val="00A91D04"/>
    <w:rsid w:val="00A92D7A"/>
    <w:rsid w:val="00A97994"/>
    <w:rsid w:val="00AA0078"/>
    <w:rsid w:val="00AA70CE"/>
    <w:rsid w:val="00AB53DA"/>
    <w:rsid w:val="00AD0B34"/>
    <w:rsid w:val="00AF46F2"/>
    <w:rsid w:val="00AF5859"/>
    <w:rsid w:val="00B15B92"/>
    <w:rsid w:val="00B33131"/>
    <w:rsid w:val="00B41F08"/>
    <w:rsid w:val="00B44CEC"/>
    <w:rsid w:val="00B505DB"/>
    <w:rsid w:val="00B564DE"/>
    <w:rsid w:val="00B569A4"/>
    <w:rsid w:val="00B73A32"/>
    <w:rsid w:val="00B73C53"/>
    <w:rsid w:val="00B859D3"/>
    <w:rsid w:val="00B87B2D"/>
    <w:rsid w:val="00B93E0B"/>
    <w:rsid w:val="00B95A5E"/>
    <w:rsid w:val="00B9769C"/>
    <w:rsid w:val="00BA12BB"/>
    <w:rsid w:val="00BA30F7"/>
    <w:rsid w:val="00BB3EE2"/>
    <w:rsid w:val="00BB7088"/>
    <w:rsid w:val="00BB71F9"/>
    <w:rsid w:val="00BC6E98"/>
    <w:rsid w:val="00BD2D45"/>
    <w:rsid w:val="00BD794B"/>
    <w:rsid w:val="00BE0559"/>
    <w:rsid w:val="00BE3F00"/>
    <w:rsid w:val="00BF0CF0"/>
    <w:rsid w:val="00BF15E5"/>
    <w:rsid w:val="00BF20D9"/>
    <w:rsid w:val="00BF5C0B"/>
    <w:rsid w:val="00BF7CAC"/>
    <w:rsid w:val="00C00DF3"/>
    <w:rsid w:val="00C0100E"/>
    <w:rsid w:val="00C11B99"/>
    <w:rsid w:val="00C17E6B"/>
    <w:rsid w:val="00C235BF"/>
    <w:rsid w:val="00C25E90"/>
    <w:rsid w:val="00C272C8"/>
    <w:rsid w:val="00C3564F"/>
    <w:rsid w:val="00C41235"/>
    <w:rsid w:val="00C4262D"/>
    <w:rsid w:val="00C437AA"/>
    <w:rsid w:val="00C570BD"/>
    <w:rsid w:val="00C6219D"/>
    <w:rsid w:val="00C83BE7"/>
    <w:rsid w:val="00C95909"/>
    <w:rsid w:val="00CA5AC3"/>
    <w:rsid w:val="00CB0E19"/>
    <w:rsid w:val="00CB18E5"/>
    <w:rsid w:val="00CB611D"/>
    <w:rsid w:val="00CC42DD"/>
    <w:rsid w:val="00CD7268"/>
    <w:rsid w:val="00CE415B"/>
    <w:rsid w:val="00CF3A3F"/>
    <w:rsid w:val="00D03BCE"/>
    <w:rsid w:val="00D04FFF"/>
    <w:rsid w:val="00D253EE"/>
    <w:rsid w:val="00D30529"/>
    <w:rsid w:val="00D371C3"/>
    <w:rsid w:val="00D42C20"/>
    <w:rsid w:val="00D46570"/>
    <w:rsid w:val="00D51BBC"/>
    <w:rsid w:val="00D55322"/>
    <w:rsid w:val="00D61A8C"/>
    <w:rsid w:val="00D727F5"/>
    <w:rsid w:val="00D743BB"/>
    <w:rsid w:val="00D80371"/>
    <w:rsid w:val="00D955B2"/>
    <w:rsid w:val="00DA3FAE"/>
    <w:rsid w:val="00DB4976"/>
    <w:rsid w:val="00DB5132"/>
    <w:rsid w:val="00DC2148"/>
    <w:rsid w:val="00DD7790"/>
    <w:rsid w:val="00DE07B2"/>
    <w:rsid w:val="00DE1E69"/>
    <w:rsid w:val="00DE217C"/>
    <w:rsid w:val="00DE57EF"/>
    <w:rsid w:val="00DF5CA4"/>
    <w:rsid w:val="00E0129C"/>
    <w:rsid w:val="00E32EBA"/>
    <w:rsid w:val="00E426E8"/>
    <w:rsid w:val="00E44038"/>
    <w:rsid w:val="00E460A3"/>
    <w:rsid w:val="00E4786B"/>
    <w:rsid w:val="00E5333D"/>
    <w:rsid w:val="00E578A5"/>
    <w:rsid w:val="00E668C6"/>
    <w:rsid w:val="00E71670"/>
    <w:rsid w:val="00E76DD3"/>
    <w:rsid w:val="00E80592"/>
    <w:rsid w:val="00E8340E"/>
    <w:rsid w:val="00E85686"/>
    <w:rsid w:val="00E86466"/>
    <w:rsid w:val="00E87251"/>
    <w:rsid w:val="00E953C5"/>
    <w:rsid w:val="00E9643A"/>
    <w:rsid w:val="00E9681A"/>
    <w:rsid w:val="00E9718B"/>
    <w:rsid w:val="00E97547"/>
    <w:rsid w:val="00EB2D93"/>
    <w:rsid w:val="00EB38B4"/>
    <w:rsid w:val="00EB4BDC"/>
    <w:rsid w:val="00EC0EBA"/>
    <w:rsid w:val="00EC6E3E"/>
    <w:rsid w:val="00ED0328"/>
    <w:rsid w:val="00ED6FEA"/>
    <w:rsid w:val="00EE5E5C"/>
    <w:rsid w:val="00EF45DE"/>
    <w:rsid w:val="00F15FDE"/>
    <w:rsid w:val="00F40B04"/>
    <w:rsid w:val="00F43584"/>
    <w:rsid w:val="00F53F60"/>
    <w:rsid w:val="00F61252"/>
    <w:rsid w:val="00F66AB1"/>
    <w:rsid w:val="00F72B62"/>
    <w:rsid w:val="00F76BCB"/>
    <w:rsid w:val="00F81DC1"/>
    <w:rsid w:val="00F84EF4"/>
    <w:rsid w:val="00F9235B"/>
    <w:rsid w:val="00FA152F"/>
    <w:rsid w:val="00FA3131"/>
    <w:rsid w:val="00FA3B08"/>
    <w:rsid w:val="00FC186E"/>
    <w:rsid w:val="00FC551F"/>
    <w:rsid w:val="00FC5D06"/>
    <w:rsid w:val="00FE0903"/>
    <w:rsid w:val="00FE696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4F0E8C"/>
    <w:pPr>
      <w:spacing w:line="240" w:lineRule="atLeast"/>
      <w:jc w:val="both"/>
    </w:pPr>
    <w:rPr>
      <w:rFonts w:ascii="Lucida Sans" w:hAnsi="Lucida Sans"/>
      <w:sz w:val="16"/>
      <w:szCs w:val="24"/>
    </w:rPr>
  </w:style>
  <w:style w:type="paragraph" w:styleId="Kop1">
    <w:name w:val="heading 1"/>
    <w:basedOn w:val="Standaard"/>
    <w:next w:val="Standaard"/>
    <w:qFormat/>
    <w:rsid w:val="00EB4BDC"/>
    <w:pPr>
      <w:keepNext/>
      <w:pBdr>
        <w:top w:val="single" w:sz="12" w:space="12" w:color="auto"/>
      </w:pBdr>
      <w:spacing w:before="120" w:after="120" w:line="240" w:lineRule="auto"/>
      <w:jc w:val="right"/>
      <w:outlineLvl w:val="0"/>
    </w:pPr>
    <w:rPr>
      <w:rFonts w:ascii="LucidaSans-Demi" w:hAnsi="LucidaSans-Demi" w:cs="Arial"/>
      <w:b/>
      <w:bCs/>
      <w:color w:val="CC99FF"/>
      <w:kern w:val="32"/>
      <w:sz w:val="36"/>
      <w:szCs w:val="32"/>
    </w:rPr>
  </w:style>
  <w:style w:type="paragraph" w:styleId="Kop2">
    <w:name w:val="heading 2"/>
    <w:basedOn w:val="Standaard"/>
    <w:next w:val="Standaard"/>
    <w:link w:val="Kop2Char"/>
    <w:qFormat/>
    <w:rsid w:val="00EB4BDC"/>
    <w:pPr>
      <w:keepNext/>
      <w:spacing w:before="360" w:after="60"/>
      <w:outlineLvl w:val="1"/>
    </w:pPr>
    <w:rPr>
      <w:rFonts w:ascii="LucidaSans-Demi" w:hAnsi="LucidaSans-Demi" w:cs="Arial"/>
      <w:b/>
      <w:bCs/>
      <w:iCs/>
      <w:color w:val="CC99FF"/>
      <w:sz w:val="20"/>
      <w:szCs w:val="28"/>
    </w:rPr>
  </w:style>
  <w:style w:type="paragraph" w:styleId="Kop3">
    <w:name w:val="heading 3"/>
    <w:basedOn w:val="Standaard"/>
    <w:next w:val="Standaard"/>
    <w:qFormat/>
    <w:rsid w:val="00E0129C"/>
    <w:pPr>
      <w:keepNext/>
      <w:spacing w:before="240" w:after="60"/>
      <w:outlineLvl w:val="2"/>
    </w:pPr>
    <w:rPr>
      <w:rFonts w:ascii="Arial" w:hAnsi="Arial" w:cs="Arial"/>
      <w:b/>
      <w:bCs/>
      <w:i/>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EB2D93"/>
    <w:pPr>
      <w:spacing w:line="240" w:lineRule="exact"/>
      <w:jc w:val="both"/>
    </w:p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142" w:type="dxa"/>
        <w:bottom w:w="57" w:type="dxa"/>
        <w:right w:w="142" w:type="dxa"/>
      </w:tcMar>
    </w:tcPr>
  </w:style>
  <w:style w:type="paragraph" w:customStyle="1" w:styleId="Figuuronderschrift">
    <w:name w:val="Figuuronderschrift"/>
    <w:basedOn w:val="Standaard"/>
    <w:next w:val="Standaard"/>
    <w:link w:val="FiguuronderschriftChar"/>
    <w:rsid w:val="00EB4BDC"/>
    <w:pPr>
      <w:spacing w:after="360"/>
    </w:pPr>
    <w:rPr>
      <w:i/>
      <w:sz w:val="14"/>
    </w:rPr>
  </w:style>
  <w:style w:type="paragraph" w:customStyle="1" w:styleId="Tabelbovenschrift">
    <w:name w:val="Tabelbovenschrift"/>
    <w:next w:val="Standaard"/>
    <w:rsid w:val="00EB4BDC"/>
    <w:pPr>
      <w:spacing w:before="360" w:after="60"/>
    </w:pPr>
    <w:rPr>
      <w:rFonts w:ascii="Lucida Sans" w:hAnsi="Lucida Sans"/>
      <w:i/>
      <w:sz w:val="14"/>
      <w:szCs w:val="24"/>
    </w:rPr>
  </w:style>
  <w:style w:type="character" w:customStyle="1" w:styleId="TabelTEKSTCursief">
    <w:name w:val="TabelTEKST Cursief"/>
    <w:rsid w:val="006D5CF9"/>
    <w:rPr>
      <w:rFonts w:ascii="LucidaSans" w:hAnsi="LucidaSans"/>
      <w:i/>
      <w:iCs/>
      <w:sz w:val="14"/>
    </w:rPr>
  </w:style>
  <w:style w:type="character" w:styleId="Paginanummer">
    <w:name w:val="page number"/>
    <w:basedOn w:val="Standaardalinea-lettertype"/>
    <w:rsid w:val="006E172D"/>
  </w:style>
  <w:style w:type="character" w:customStyle="1" w:styleId="TabelTEKSTLucidaSans7pt">
    <w:name w:val="TabelTEKST LucidaSans 7 pt"/>
    <w:rsid w:val="00D46570"/>
    <w:rPr>
      <w:rFonts w:ascii="LucidaSans" w:hAnsi="LucidaSans"/>
      <w:sz w:val="14"/>
    </w:rPr>
  </w:style>
  <w:style w:type="character" w:styleId="Zwaar">
    <w:name w:val="Strong"/>
    <w:uiPriority w:val="22"/>
    <w:qFormat/>
    <w:rsid w:val="00AA70CE"/>
    <w:rPr>
      <w:b/>
      <w:bCs/>
    </w:rPr>
  </w:style>
  <w:style w:type="character" w:customStyle="1" w:styleId="FiguuronderschriftChar">
    <w:name w:val="Figuuronderschrift Char"/>
    <w:link w:val="Figuuronderschrift"/>
    <w:rsid w:val="00EB4BDC"/>
    <w:rPr>
      <w:rFonts w:ascii="Lucida Sans" w:hAnsi="Lucida Sans"/>
      <w:i/>
      <w:sz w:val="14"/>
      <w:szCs w:val="24"/>
      <w:lang w:val="nl-NL" w:eastAsia="nl-NL" w:bidi="ar-SA"/>
    </w:rPr>
  </w:style>
  <w:style w:type="paragraph" w:customStyle="1" w:styleId="Bullets">
    <w:name w:val="Bullets"/>
    <w:basedOn w:val="Standaard"/>
    <w:rsid w:val="00532F01"/>
    <w:pPr>
      <w:numPr>
        <w:numId w:val="1"/>
      </w:numPr>
    </w:pPr>
  </w:style>
  <w:style w:type="character" w:customStyle="1" w:styleId="TabelTEKSTVET">
    <w:name w:val="TabelTEKST_VET"/>
    <w:rsid w:val="00B73C53"/>
    <w:rPr>
      <w:rFonts w:ascii="Lucida Sans" w:hAnsi="Lucida Sans"/>
      <w:b/>
      <w:sz w:val="14"/>
    </w:rPr>
  </w:style>
  <w:style w:type="paragraph" w:styleId="Voetnoottekst">
    <w:name w:val="footnote text"/>
    <w:basedOn w:val="Standaard"/>
    <w:semiHidden/>
    <w:rsid w:val="00B41F08"/>
    <w:rPr>
      <w:sz w:val="20"/>
      <w:szCs w:val="20"/>
    </w:rPr>
  </w:style>
  <w:style w:type="character" w:styleId="Voetnootmarkering">
    <w:name w:val="footnote reference"/>
    <w:semiHidden/>
    <w:rsid w:val="00B41F08"/>
    <w:rPr>
      <w:vertAlign w:val="superscript"/>
    </w:rPr>
  </w:style>
  <w:style w:type="paragraph" w:customStyle="1" w:styleId="Opmaakprofiel11ptLavendelRechtsBovenEnkelAuto15ptLijndik">
    <w:name w:val="Opmaakprofiel 11 pt Lavendel Rechts Boven: (Enkel Auto  1.5 pt Lijndik..."/>
    <w:basedOn w:val="Standaard"/>
    <w:rsid w:val="00EB4BDC"/>
    <w:pPr>
      <w:pBdr>
        <w:bottom w:val="single" w:sz="12" w:space="12" w:color="auto"/>
      </w:pBdr>
      <w:spacing w:before="120" w:after="120"/>
      <w:jc w:val="right"/>
    </w:pPr>
    <w:rPr>
      <w:rFonts w:ascii="LucidaSans-Demi" w:hAnsi="LucidaSans-Demi"/>
      <w:color w:val="CC99FF"/>
      <w:sz w:val="22"/>
      <w:szCs w:val="20"/>
    </w:rPr>
  </w:style>
  <w:style w:type="paragraph" w:styleId="Koptekst">
    <w:name w:val="header"/>
    <w:basedOn w:val="Standaard"/>
    <w:rsid w:val="00037BFF"/>
    <w:pPr>
      <w:tabs>
        <w:tab w:val="center" w:pos="4536"/>
        <w:tab w:val="right" w:pos="9072"/>
      </w:tabs>
    </w:pPr>
  </w:style>
  <w:style w:type="paragraph" w:styleId="Voettekst">
    <w:name w:val="footer"/>
    <w:basedOn w:val="Standaard"/>
    <w:rsid w:val="00037BFF"/>
    <w:pPr>
      <w:tabs>
        <w:tab w:val="center" w:pos="4536"/>
        <w:tab w:val="right" w:pos="9072"/>
      </w:tabs>
    </w:pPr>
  </w:style>
  <w:style w:type="paragraph" w:styleId="Documentstructuur">
    <w:name w:val="Document Map"/>
    <w:basedOn w:val="Standaard"/>
    <w:semiHidden/>
    <w:rsid w:val="005C07C8"/>
    <w:pPr>
      <w:shd w:val="clear" w:color="auto" w:fill="000080"/>
    </w:pPr>
    <w:rPr>
      <w:rFonts w:ascii="Tahoma" w:hAnsi="Tahoma" w:cs="Tahoma"/>
      <w:sz w:val="20"/>
      <w:szCs w:val="20"/>
    </w:rPr>
  </w:style>
  <w:style w:type="paragraph" w:styleId="Normaalweb">
    <w:name w:val="Normal (Web)"/>
    <w:basedOn w:val="Standaard"/>
    <w:uiPriority w:val="99"/>
    <w:unhideWhenUsed/>
    <w:rsid w:val="00AA70CE"/>
    <w:pPr>
      <w:spacing w:before="100" w:beforeAutospacing="1" w:after="100" w:afterAutospacing="1" w:line="240" w:lineRule="auto"/>
      <w:jc w:val="left"/>
    </w:pPr>
    <w:rPr>
      <w:rFonts w:ascii="Times New Roman" w:hAnsi="Times New Roman"/>
      <w:sz w:val="24"/>
    </w:rPr>
  </w:style>
  <w:style w:type="paragraph" w:styleId="Ballontekst">
    <w:name w:val="Balloon Text"/>
    <w:basedOn w:val="Standaard"/>
    <w:semiHidden/>
    <w:rsid w:val="00F15FDE"/>
    <w:rPr>
      <w:rFonts w:ascii="Tahoma" w:hAnsi="Tahoma" w:cs="Tahoma"/>
      <w:szCs w:val="16"/>
    </w:rPr>
  </w:style>
  <w:style w:type="character" w:styleId="Verwijzingopmerking">
    <w:name w:val="annotation reference"/>
    <w:semiHidden/>
    <w:rsid w:val="00F15FDE"/>
    <w:rPr>
      <w:sz w:val="16"/>
      <w:szCs w:val="16"/>
    </w:rPr>
  </w:style>
  <w:style w:type="paragraph" w:styleId="Tekstopmerking">
    <w:name w:val="annotation text"/>
    <w:basedOn w:val="Standaard"/>
    <w:semiHidden/>
    <w:rsid w:val="00F15FDE"/>
    <w:rPr>
      <w:sz w:val="20"/>
      <w:szCs w:val="20"/>
    </w:rPr>
  </w:style>
  <w:style w:type="paragraph" w:styleId="Onderwerpvanopmerking">
    <w:name w:val="annotation subject"/>
    <w:basedOn w:val="Tekstopmerking"/>
    <w:next w:val="Tekstopmerking"/>
    <w:semiHidden/>
    <w:rsid w:val="00F15FDE"/>
    <w:rPr>
      <w:b/>
      <w:bCs/>
    </w:rPr>
  </w:style>
  <w:style w:type="character" w:styleId="Tekstvantijdelijkeaanduiding">
    <w:name w:val="Placeholder Text"/>
    <w:basedOn w:val="Standaardalinea-lettertype"/>
    <w:uiPriority w:val="99"/>
    <w:semiHidden/>
    <w:rsid w:val="00796D5D"/>
    <w:rPr>
      <w:color w:val="808080"/>
    </w:rPr>
  </w:style>
  <w:style w:type="character" w:customStyle="1" w:styleId="Kop2Char">
    <w:name w:val="Kop 2 Char"/>
    <w:basedOn w:val="Standaardalinea-lettertype"/>
    <w:link w:val="Kop2"/>
    <w:rsid w:val="00CE415B"/>
    <w:rPr>
      <w:rFonts w:ascii="LucidaSans-Demi" w:hAnsi="LucidaSans-Demi" w:cs="Arial"/>
      <w:b/>
      <w:bCs/>
      <w:iCs/>
      <w:color w:val="CC99FF"/>
      <w:szCs w:val="28"/>
    </w:rPr>
  </w:style>
  <w:style w:type="paragraph" w:styleId="Lijstalinea">
    <w:name w:val="List Paragraph"/>
    <w:basedOn w:val="Standaard"/>
    <w:uiPriority w:val="34"/>
    <w:qFormat/>
    <w:rsid w:val="001F0B41"/>
    <w:pPr>
      <w:ind w:left="720"/>
      <w:contextualSpacing/>
    </w:pPr>
  </w:style>
  <w:style w:type="paragraph" w:customStyle="1" w:styleId="Textbody">
    <w:name w:val="Text body"/>
    <w:basedOn w:val="Standaard"/>
    <w:rsid w:val="00372867"/>
    <w:pPr>
      <w:widowControl w:val="0"/>
      <w:suppressAutoHyphens/>
      <w:autoSpaceDN w:val="0"/>
      <w:spacing w:after="120" w:line="240" w:lineRule="auto"/>
      <w:jc w:val="left"/>
    </w:pPr>
    <w:rPr>
      <w:rFonts w:ascii="Times New Roman" w:eastAsia="SimSun" w:hAnsi="Times New Roman" w:cs="Mangal"/>
      <w:kern w:val="3"/>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4F0E8C"/>
    <w:pPr>
      <w:spacing w:line="240" w:lineRule="atLeast"/>
      <w:jc w:val="both"/>
    </w:pPr>
    <w:rPr>
      <w:rFonts w:ascii="Lucida Sans" w:hAnsi="Lucida Sans"/>
      <w:sz w:val="16"/>
      <w:szCs w:val="24"/>
    </w:rPr>
  </w:style>
  <w:style w:type="paragraph" w:styleId="Kop1">
    <w:name w:val="heading 1"/>
    <w:basedOn w:val="Standaard"/>
    <w:next w:val="Standaard"/>
    <w:qFormat/>
    <w:rsid w:val="00EB4BDC"/>
    <w:pPr>
      <w:keepNext/>
      <w:pBdr>
        <w:top w:val="single" w:sz="12" w:space="12" w:color="auto"/>
      </w:pBdr>
      <w:spacing w:before="120" w:after="120" w:line="240" w:lineRule="auto"/>
      <w:jc w:val="right"/>
      <w:outlineLvl w:val="0"/>
    </w:pPr>
    <w:rPr>
      <w:rFonts w:ascii="LucidaSans-Demi" w:hAnsi="LucidaSans-Demi" w:cs="Arial"/>
      <w:b/>
      <w:bCs/>
      <w:color w:val="CC99FF"/>
      <w:kern w:val="32"/>
      <w:sz w:val="36"/>
      <w:szCs w:val="32"/>
    </w:rPr>
  </w:style>
  <w:style w:type="paragraph" w:styleId="Kop2">
    <w:name w:val="heading 2"/>
    <w:basedOn w:val="Standaard"/>
    <w:next w:val="Standaard"/>
    <w:link w:val="Kop2Char"/>
    <w:qFormat/>
    <w:rsid w:val="00EB4BDC"/>
    <w:pPr>
      <w:keepNext/>
      <w:spacing w:before="360" w:after="60"/>
      <w:outlineLvl w:val="1"/>
    </w:pPr>
    <w:rPr>
      <w:rFonts w:ascii="LucidaSans-Demi" w:hAnsi="LucidaSans-Demi" w:cs="Arial"/>
      <w:b/>
      <w:bCs/>
      <w:iCs/>
      <w:color w:val="CC99FF"/>
      <w:sz w:val="20"/>
      <w:szCs w:val="28"/>
    </w:rPr>
  </w:style>
  <w:style w:type="paragraph" w:styleId="Kop3">
    <w:name w:val="heading 3"/>
    <w:basedOn w:val="Standaard"/>
    <w:next w:val="Standaard"/>
    <w:qFormat/>
    <w:rsid w:val="00E0129C"/>
    <w:pPr>
      <w:keepNext/>
      <w:spacing w:before="240" w:after="60"/>
      <w:outlineLvl w:val="2"/>
    </w:pPr>
    <w:rPr>
      <w:rFonts w:ascii="Arial" w:hAnsi="Arial" w:cs="Arial"/>
      <w:b/>
      <w:bCs/>
      <w:i/>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EB2D93"/>
    <w:pPr>
      <w:spacing w:line="240" w:lineRule="exact"/>
      <w:jc w:val="both"/>
    </w:p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142" w:type="dxa"/>
        <w:bottom w:w="57" w:type="dxa"/>
        <w:right w:w="142" w:type="dxa"/>
      </w:tcMar>
    </w:tcPr>
  </w:style>
  <w:style w:type="paragraph" w:customStyle="1" w:styleId="Figuuronderschrift">
    <w:name w:val="Figuuronderschrift"/>
    <w:basedOn w:val="Standaard"/>
    <w:next w:val="Standaard"/>
    <w:link w:val="FiguuronderschriftChar"/>
    <w:rsid w:val="00EB4BDC"/>
    <w:pPr>
      <w:spacing w:after="360"/>
    </w:pPr>
    <w:rPr>
      <w:i/>
      <w:sz w:val="14"/>
    </w:rPr>
  </w:style>
  <w:style w:type="paragraph" w:customStyle="1" w:styleId="Tabelbovenschrift">
    <w:name w:val="Tabelbovenschrift"/>
    <w:next w:val="Standaard"/>
    <w:rsid w:val="00EB4BDC"/>
    <w:pPr>
      <w:spacing w:before="360" w:after="60"/>
    </w:pPr>
    <w:rPr>
      <w:rFonts w:ascii="Lucida Sans" w:hAnsi="Lucida Sans"/>
      <w:i/>
      <w:sz w:val="14"/>
      <w:szCs w:val="24"/>
    </w:rPr>
  </w:style>
  <w:style w:type="character" w:customStyle="1" w:styleId="TabelTEKSTCursief">
    <w:name w:val="TabelTEKST Cursief"/>
    <w:rsid w:val="006D5CF9"/>
    <w:rPr>
      <w:rFonts w:ascii="LucidaSans" w:hAnsi="LucidaSans"/>
      <w:i/>
      <w:iCs/>
      <w:sz w:val="14"/>
    </w:rPr>
  </w:style>
  <w:style w:type="character" w:styleId="Paginanummer">
    <w:name w:val="page number"/>
    <w:basedOn w:val="Standaardalinea-lettertype"/>
    <w:rsid w:val="006E172D"/>
  </w:style>
  <w:style w:type="character" w:customStyle="1" w:styleId="TabelTEKSTLucidaSans7pt">
    <w:name w:val="TabelTEKST LucidaSans 7 pt"/>
    <w:rsid w:val="00D46570"/>
    <w:rPr>
      <w:rFonts w:ascii="LucidaSans" w:hAnsi="LucidaSans"/>
      <w:sz w:val="14"/>
    </w:rPr>
  </w:style>
  <w:style w:type="character" w:styleId="Zwaar">
    <w:name w:val="Strong"/>
    <w:uiPriority w:val="22"/>
    <w:qFormat/>
    <w:rsid w:val="00AA70CE"/>
    <w:rPr>
      <w:b/>
      <w:bCs/>
    </w:rPr>
  </w:style>
  <w:style w:type="character" w:customStyle="1" w:styleId="FiguuronderschriftChar">
    <w:name w:val="Figuuronderschrift Char"/>
    <w:link w:val="Figuuronderschrift"/>
    <w:rsid w:val="00EB4BDC"/>
    <w:rPr>
      <w:rFonts w:ascii="Lucida Sans" w:hAnsi="Lucida Sans"/>
      <w:i/>
      <w:sz w:val="14"/>
      <w:szCs w:val="24"/>
      <w:lang w:val="nl-NL" w:eastAsia="nl-NL" w:bidi="ar-SA"/>
    </w:rPr>
  </w:style>
  <w:style w:type="paragraph" w:customStyle="1" w:styleId="Bullets">
    <w:name w:val="Bullets"/>
    <w:basedOn w:val="Standaard"/>
    <w:rsid w:val="00532F01"/>
    <w:pPr>
      <w:numPr>
        <w:numId w:val="1"/>
      </w:numPr>
    </w:pPr>
  </w:style>
  <w:style w:type="character" w:customStyle="1" w:styleId="TabelTEKSTVET">
    <w:name w:val="TabelTEKST_VET"/>
    <w:rsid w:val="00B73C53"/>
    <w:rPr>
      <w:rFonts w:ascii="Lucida Sans" w:hAnsi="Lucida Sans"/>
      <w:b/>
      <w:sz w:val="14"/>
    </w:rPr>
  </w:style>
  <w:style w:type="paragraph" w:styleId="Voetnoottekst">
    <w:name w:val="footnote text"/>
    <w:basedOn w:val="Standaard"/>
    <w:semiHidden/>
    <w:rsid w:val="00B41F08"/>
    <w:rPr>
      <w:sz w:val="20"/>
      <w:szCs w:val="20"/>
    </w:rPr>
  </w:style>
  <w:style w:type="character" w:styleId="Voetnootmarkering">
    <w:name w:val="footnote reference"/>
    <w:semiHidden/>
    <w:rsid w:val="00B41F08"/>
    <w:rPr>
      <w:vertAlign w:val="superscript"/>
    </w:rPr>
  </w:style>
  <w:style w:type="paragraph" w:customStyle="1" w:styleId="Opmaakprofiel11ptLavendelRechtsBovenEnkelAuto15ptLijndik">
    <w:name w:val="Opmaakprofiel 11 pt Lavendel Rechts Boven: (Enkel Auto  1.5 pt Lijndik..."/>
    <w:basedOn w:val="Standaard"/>
    <w:rsid w:val="00EB4BDC"/>
    <w:pPr>
      <w:pBdr>
        <w:bottom w:val="single" w:sz="12" w:space="12" w:color="auto"/>
      </w:pBdr>
      <w:spacing w:before="120" w:after="120"/>
      <w:jc w:val="right"/>
    </w:pPr>
    <w:rPr>
      <w:rFonts w:ascii="LucidaSans-Demi" w:hAnsi="LucidaSans-Demi"/>
      <w:color w:val="CC99FF"/>
      <w:sz w:val="22"/>
      <w:szCs w:val="20"/>
    </w:rPr>
  </w:style>
  <w:style w:type="paragraph" w:styleId="Koptekst">
    <w:name w:val="header"/>
    <w:basedOn w:val="Standaard"/>
    <w:rsid w:val="00037BFF"/>
    <w:pPr>
      <w:tabs>
        <w:tab w:val="center" w:pos="4536"/>
        <w:tab w:val="right" w:pos="9072"/>
      </w:tabs>
    </w:pPr>
  </w:style>
  <w:style w:type="paragraph" w:styleId="Voettekst">
    <w:name w:val="footer"/>
    <w:basedOn w:val="Standaard"/>
    <w:rsid w:val="00037BFF"/>
    <w:pPr>
      <w:tabs>
        <w:tab w:val="center" w:pos="4536"/>
        <w:tab w:val="right" w:pos="9072"/>
      </w:tabs>
    </w:pPr>
  </w:style>
  <w:style w:type="paragraph" w:styleId="Documentstructuur">
    <w:name w:val="Document Map"/>
    <w:basedOn w:val="Standaard"/>
    <w:semiHidden/>
    <w:rsid w:val="005C07C8"/>
    <w:pPr>
      <w:shd w:val="clear" w:color="auto" w:fill="000080"/>
    </w:pPr>
    <w:rPr>
      <w:rFonts w:ascii="Tahoma" w:hAnsi="Tahoma" w:cs="Tahoma"/>
      <w:sz w:val="20"/>
      <w:szCs w:val="20"/>
    </w:rPr>
  </w:style>
  <w:style w:type="paragraph" w:styleId="Normaalweb">
    <w:name w:val="Normal (Web)"/>
    <w:basedOn w:val="Standaard"/>
    <w:uiPriority w:val="99"/>
    <w:unhideWhenUsed/>
    <w:rsid w:val="00AA70CE"/>
    <w:pPr>
      <w:spacing w:before="100" w:beforeAutospacing="1" w:after="100" w:afterAutospacing="1" w:line="240" w:lineRule="auto"/>
      <w:jc w:val="left"/>
    </w:pPr>
    <w:rPr>
      <w:rFonts w:ascii="Times New Roman" w:hAnsi="Times New Roman"/>
      <w:sz w:val="24"/>
    </w:rPr>
  </w:style>
  <w:style w:type="paragraph" w:styleId="Ballontekst">
    <w:name w:val="Balloon Text"/>
    <w:basedOn w:val="Standaard"/>
    <w:semiHidden/>
    <w:rsid w:val="00F15FDE"/>
    <w:rPr>
      <w:rFonts w:ascii="Tahoma" w:hAnsi="Tahoma" w:cs="Tahoma"/>
      <w:szCs w:val="16"/>
    </w:rPr>
  </w:style>
  <w:style w:type="character" w:styleId="Verwijzingopmerking">
    <w:name w:val="annotation reference"/>
    <w:semiHidden/>
    <w:rsid w:val="00F15FDE"/>
    <w:rPr>
      <w:sz w:val="16"/>
      <w:szCs w:val="16"/>
    </w:rPr>
  </w:style>
  <w:style w:type="paragraph" w:styleId="Tekstopmerking">
    <w:name w:val="annotation text"/>
    <w:basedOn w:val="Standaard"/>
    <w:semiHidden/>
    <w:rsid w:val="00F15FDE"/>
    <w:rPr>
      <w:sz w:val="20"/>
      <w:szCs w:val="20"/>
    </w:rPr>
  </w:style>
  <w:style w:type="paragraph" w:styleId="Onderwerpvanopmerking">
    <w:name w:val="annotation subject"/>
    <w:basedOn w:val="Tekstopmerking"/>
    <w:next w:val="Tekstopmerking"/>
    <w:semiHidden/>
    <w:rsid w:val="00F15FDE"/>
    <w:rPr>
      <w:b/>
      <w:bCs/>
    </w:rPr>
  </w:style>
  <w:style w:type="character" w:styleId="Tekstvantijdelijkeaanduiding">
    <w:name w:val="Placeholder Text"/>
    <w:basedOn w:val="Standaardalinea-lettertype"/>
    <w:uiPriority w:val="99"/>
    <w:semiHidden/>
    <w:rsid w:val="00796D5D"/>
    <w:rPr>
      <w:color w:val="808080"/>
    </w:rPr>
  </w:style>
  <w:style w:type="character" w:customStyle="1" w:styleId="Kop2Char">
    <w:name w:val="Kop 2 Char"/>
    <w:basedOn w:val="Standaardalinea-lettertype"/>
    <w:link w:val="Kop2"/>
    <w:rsid w:val="00CE415B"/>
    <w:rPr>
      <w:rFonts w:ascii="LucidaSans-Demi" w:hAnsi="LucidaSans-Demi" w:cs="Arial"/>
      <w:b/>
      <w:bCs/>
      <w:iCs/>
      <w:color w:val="CC99FF"/>
      <w:szCs w:val="28"/>
    </w:rPr>
  </w:style>
  <w:style w:type="paragraph" w:styleId="Lijstalinea">
    <w:name w:val="List Paragraph"/>
    <w:basedOn w:val="Standaard"/>
    <w:uiPriority w:val="34"/>
    <w:qFormat/>
    <w:rsid w:val="001F0B41"/>
    <w:pPr>
      <w:ind w:left="720"/>
      <w:contextualSpacing/>
    </w:pPr>
  </w:style>
  <w:style w:type="paragraph" w:customStyle="1" w:styleId="Textbody">
    <w:name w:val="Text body"/>
    <w:basedOn w:val="Standaard"/>
    <w:rsid w:val="00372867"/>
    <w:pPr>
      <w:widowControl w:val="0"/>
      <w:suppressAutoHyphens/>
      <w:autoSpaceDN w:val="0"/>
      <w:spacing w:after="120" w:line="240" w:lineRule="auto"/>
      <w:jc w:val="left"/>
    </w:pPr>
    <w:rPr>
      <w:rFonts w:ascii="Times New Roman" w:eastAsia="SimSun" w:hAnsi="Times New Roman" w:cs="Mangal"/>
      <w:kern w:val="3"/>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07479">
      <w:bodyDiv w:val="1"/>
      <w:marLeft w:val="0"/>
      <w:marRight w:val="0"/>
      <w:marTop w:val="0"/>
      <w:marBottom w:val="0"/>
      <w:divBdr>
        <w:top w:val="none" w:sz="0" w:space="0" w:color="auto"/>
        <w:left w:val="none" w:sz="0" w:space="0" w:color="auto"/>
        <w:bottom w:val="none" w:sz="0" w:space="0" w:color="auto"/>
        <w:right w:val="none" w:sz="0" w:space="0" w:color="auto"/>
      </w:divBdr>
    </w:div>
    <w:div w:id="139546097">
      <w:bodyDiv w:val="1"/>
      <w:marLeft w:val="0"/>
      <w:marRight w:val="0"/>
      <w:marTop w:val="0"/>
      <w:marBottom w:val="0"/>
      <w:divBdr>
        <w:top w:val="none" w:sz="0" w:space="0" w:color="auto"/>
        <w:left w:val="none" w:sz="0" w:space="0" w:color="auto"/>
        <w:bottom w:val="none" w:sz="0" w:space="0" w:color="auto"/>
        <w:right w:val="none" w:sz="0" w:space="0" w:color="auto"/>
      </w:divBdr>
    </w:div>
    <w:div w:id="186451289">
      <w:bodyDiv w:val="1"/>
      <w:marLeft w:val="0"/>
      <w:marRight w:val="0"/>
      <w:marTop w:val="0"/>
      <w:marBottom w:val="0"/>
      <w:divBdr>
        <w:top w:val="none" w:sz="0" w:space="0" w:color="auto"/>
        <w:left w:val="none" w:sz="0" w:space="0" w:color="auto"/>
        <w:bottom w:val="none" w:sz="0" w:space="0" w:color="auto"/>
        <w:right w:val="none" w:sz="0" w:space="0" w:color="auto"/>
      </w:divBdr>
    </w:div>
    <w:div w:id="213396368">
      <w:bodyDiv w:val="1"/>
      <w:marLeft w:val="0"/>
      <w:marRight w:val="0"/>
      <w:marTop w:val="0"/>
      <w:marBottom w:val="0"/>
      <w:divBdr>
        <w:top w:val="none" w:sz="0" w:space="0" w:color="auto"/>
        <w:left w:val="none" w:sz="0" w:space="0" w:color="auto"/>
        <w:bottom w:val="none" w:sz="0" w:space="0" w:color="auto"/>
        <w:right w:val="none" w:sz="0" w:space="0" w:color="auto"/>
      </w:divBdr>
    </w:div>
    <w:div w:id="268315882">
      <w:bodyDiv w:val="1"/>
      <w:marLeft w:val="0"/>
      <w:marRight w:val="0"/>
      <w:marTop w:val="0"/>
      <w:marBottom w:val="0"/>
      <w:divBdr>
        <w:top w:val="none" w:sz="0" w:space="0" w:color="auto"/>
        <w:left w:val="none" w:sz="0" w:space="0" w:color="auto"/>
        <w:bottom w:val="none" w:sz="0" w:space="0" w:color="auto"/>
        <w:right w:val="none" w:sz="0" w:space="0" w:color="auto"/>
      </w:divBdr>
    </w:div>
    <w:div w:id="292491893">
      <w:bodyDiv w:val="1"/>
      <w:marLeft w:val="0"/>
      <w:marRight w:val="0"/>
      <w:marTop w:val="0"/>
      <w:marBottom w:val="0"/>
      <w:divBdr>
        <w:top w:val="none" w:sz="0" w:space="0" w:color="auto"/>
        <w:left w:val="none" w:sz="0" w:space="0" w:color="auto"/>
        <w:bottom w:val="none" w:sz="0" w:space="0" w:color="auto"/>
        <w:right w:val="none" w:sz="0" w:space="0" w:color="auto"/>
      </w:divBdr>
    </w:div>
    <w:div w:id="308944838">
      <w:bodyDiv w:val="1"/>
      <w:marLeft w:val="0"/>
      <w:marRight w:val="0"/>
      <w:marTop w:val="0"/>
      <w:marBottom w:val="0"/>
      <w:divBdr>
        <w:top w:val="none" w:sz="0" w:space="0" w:color="auto"/>
        <w:left w:val="none" w:sz="0" w:space="0" w:color="auto"/>
        <w:bottom w:val="none" w:sz="0" w:space="0" w:color="auto"/>
        <w:right w:val="none" w:sz="0" w:space="0" w:color="auto"/>
      </w:divBdr>
      <w:divsChild>
        <w:div w:id="1022394261">
          <w:marLeft w:val="0"/>
          <w:marRight w:val="0"/>
          <w:marTop w:val="161"/>
          <w:marBottom w:val="0"/>
          <w:divBdr>
            <w:top w:val="none" w:sz="0" w:space="0" w:color="auto"/>
            <w:left w:val="none" w:sz="0" w:space="0" w:color="auto"/>
            <w:bottom w:val="none" w:sz="0" w:space="0" w:color="auto"/>
            <w:right w:val="none" w:sz="0" w:space="0" w:color="auto"/>
          </w:divBdr>
          <w:divsChild>
            <w:div w:id="2064137896">
              <w:marLeft w:val="0"/>
              <w:marRight w:val="0"/>
              <w:marTop w:val="0"/>
              <w:marBottom w:val="0"/>
              <w:divBdr>
                <w:top w:val="none" w:sz="0" w:space="0" w:color="auto"/>
                <w:left w:val="none" w:sz="0" w:space="0" w:color="auto"/>
                <w:bottom w:val="none" w:sz="0" w:space="0" w:color="auto"/>
                <w:right w:val="none" w:sz="0" w:space="0" w:color="auto"/>
              </w:divBdr>
              <w:divsChild>
                <w:div w:id="1283489460">
                  <w:marLeft w:val="44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9704">
      <w:bodyDiv w:val="1"/>
      <w:marLeft w:val="60"/>
      <w:marRight w:val="60"/>
      <w:marTop w:val="60"/>
      <w:marBottom w:val="15"/>
      <w:divBdr>
        <w:top w:val="none" w:sz="0" w:space="0" w:color="auto"/>
        <w:left w:val="none" w:sz="0" w:space="0" w:color="auto"/>
        <w:bottom w:val="none" w:sz="0" w:space="0" w:color="auto"/>
        <w:right w:val="none" w:sz="0" w:space="0" w:color="auto"/>
      </w:divBdr>
      <w:divsChild>
        <w:div w:id="1383597197">
          <w:marLeft w:val="0"/>
          <w:marRight w:val="0"/>
          <w:marTop w:val="0"/>
          <w:marBottom w:val="0"/>
          <w:divBdr>
            <w:top w:val="none" w:sz="0" w:space="0" w:color="auto"/>
            <w:left w:val="none" w:sz="0" w:space="0" w:color="auto"/>
            <w:bottom w:val="none" w:sz="0" w:space="0" w:color="auto"/>
            <w:right w:val="none" w:sz="0" w:space="0" w:color="auto"/>
          </w:divBdr>
        </w:div>
      </w:divsChild>
    </w:div>
    <w:div w:id="583076419">
      <w:bodyDiv w:val="1"/>
      <w:marLeft w:val="0"/>
      <w:marRight w:val="0"/>
      <w:marTop w:val="0"/>
      <w:marBottom w:val="0"/>
      <w:divBdr>
        <w:top w:val="none" w:sz="0" w:space="0" w:color="auto"/>
        <w:left w:val="none" w:sz="0" w:space="0" w:color="auto"/>
        <w:bottom w:val="none" w:sz="0" w:space="0" w:color="auto"/>
        <w:right w:val="none" w:sz="0" w:space="0" w:color="auto"/>
      </w:divBdr>
    </w:div>
    <w:div w:id="642276199">
      <w:bodyDiv w:val="1"/>
      <w:marLeft w:val="0"/>
      <w:marRight w:val="0"/>
      <w:marTop w:val="0"/>
      <w:marBottom w:val="0"/>
      <w:divBdr>
        <w:top w:val="none" w:sz="0" w:space="0" w:color="auto"/>
        <w:left w:val="none" w:sz="0" w:space="0" w:color="auto"/>
        <w:bottom w:val="none" w:sz="0" w:space="0" w:color="auto"/>
        <w:right w:val="none" w:sz="0" w:space="0" w:color="auto"/>
      </w:divBdr>
    </w:div>
    <w:div w:id="709958071">
      <w:bodyDiv w:val="1"/>
      <w:marLeft w:val="0"/>
      <w:marRight w:val="0"/>
      <w:marTop w:val="0"/>
      <w:marBottom w:val="0"/>
      <w:divBdr>
        <w:top w:val="none" w:sz="0" w:space="0" w:color="auto"/>
        <w:left w:val="none" w:sz="0" w:space="0" w:color="auto"/>
        <w:bottom w:val="none" w:sz="0" w:space="0" w:color="auto"/>
        <w:right w:val="none" w:sz="0" w:space="0" w:color="auto"/>
      </w:divBdr>
    </w:div>
    <w:div w:id="731125997">
      <w:bodyDiv w:val="1"/>
      <w:marLeft w:val="0"/>
      <w:marRight w:val="0"/>
      <w:marTop w:val="0"/>
      <w:marBottom w:val="0"/>
      <w:divBdr>
        <w:top w:val="none" w:sz="0" w:space="0" w:color="auto"/>
        <w:left w:val="none" w:sz="0" w:space="0" w:color="auto"/>
        <w:bottom w:val="none" w:sz="0" w:space="0" w:color="auto"/>
        <w:right w:val="none" w:sz="0" w:space="0" w:color="auto"/>
      </w:divBdr>
    </w:div>
    <w:div w:id="742683914">
      <w:bodyDiv w:val="1"/>
      <w:marLeft w:val="0"/>
      <w:marRight w:val="0"/>
      <w:marTop w:val="0"/>
      <w:marBottom w:val="0"/>
      <w:divBdr>
        <w:top w:val="none" w:sz="0" w:space="0" w:color="auto"/>
        <w:left w:val="none" w:sz="0" w:space="0" w:color="auto"/>
        <w:bottom w:val="none" w:sz="0" w:space="0" w:color="auto"/>
        <w:right w:val="none" w:sz="0" w:space="0" w:color="auto"/>
      </w:divBdr>
    </w:div>
    <w:div w:id="914634625">
      <w:bodyDiv w:val="1"/>
      <w:marLeft w:val="0"/>
      <w:marRight w:val="0"/>
      <w:marTop w:val="0"/>
      <w:marBottom w:val="0"/>
      <w:divBdr>
        <w:top w:val="none" w:sz="0" w:space="0" w:color="auto"/>
        <w:left w:val="none" w:sz="0" w:space="0" w:color="auto"/>
        <w:bottom w:val="none" w:sz="0" w:space="0" w:color="auto"/>
        <w:right w:val="none" w:sz="0" w:space="0" w:color="auto"/>
      </w:divBdr>
    </w:div>
    <w:div w:id="986326394">
      <w:bodyDiv w:val="1"/>
      <w:marLeft w:val="0"/>
      <w:marRight w:val="0"/>
      <w:marTop w:val="0"/>
      <w:marBottom w:val="0"/>
      <w:divBdr>
        <w:top w:val="none" w:sz="0" w:space="0" w:color="auto"/>
        <w:left w:val="none" w:sz="0" w:space="0" w:color="auto"/>
        <w:bottom w:val="none" w:sz="0" w:space="0" w:color="auto"/>
        <w:right w:val="none" w:sz="0" w:space="0" w:color="auto"/>
      </w:divBdr>
    </w:div>
    <w:div w:id="1221987770">
      <w:bodyDiv w:val="1"/>
      <w:marLeft w:val="0"/>
      <w:marRight w:val="0"/>
      <w:marTop w:val="0"/>
      <w:marBottom w:val="0"/>
      <w:divBdr>
        <w:top w:val="none" w:sz="0" w:space="0" w:color="auto"/>
        <w:left w:val="none" w:sz="0" w:space="0" w:color="auto"/>
        <w:bottom w:val="none" w:sz="0" w:space="0" w:color="auto"/>
        <w:right w:val="none" w:sz="0" w:space="0" w:color="auto"/>
      </w:divBdr>
    </w:div>
    <w:div w:id="1260874047">
      <w:bodyDiv w:val="1"/>
      <w:marLeft w:val="0"/>
      <w:marRight w:val="0"/>
      <w:marTop w:val="0"/>
      <w:marBottom w:val="0"/>
      <w:divBdr>
        <w:top w:val="none" w:sz="0" w:space="0" w:color="auto"/>
        <w:left w:val="none" w:sz="0" w:space="0" w:color="auto"/>
        <w:bottom w:val="none" w:sz="0" w:space="0" w:color="auto"/>
        <w:right w:val="none" w:sz="0" w:space="0" w:color="auto"/>
      </w:divBdr>
    </w:div>
    <w:div w:id="1261911136">
      <w:bodyDiv w:val="1"/>
      <w:marLeft w:val="0"/>
      <w:marRight w:val="0"/>
      <w:marTop w:val="0"/>
      <w:marBottom w:val="0"/>
      <w:divBdr>
        <w:top w:val="none" w:sz="0" w:space="0" w:color="auto"/>
        <w:left w:val="none" w:sz="0" w:space="0" w:color="auto"/>
        <w:bottom w:val="none" w:sz="0" w:space="0" w:color="auto"/>
        <w:right w:val="none" w:sz="0" w:space="0" w:color="auto"/>
      </w:divBdr>
    </w:div>
    <w:div w:id="1288271903">
      <w:bodyDiv w:val="1"/>
      <w:marLeft w:val="0"/>
      <w:marRight w:val="0"/>
      <w:marTop w:val="0"/>
      <w:marBottom w:val="0"/>
      <w:divBdr>
        <w:top w:val="none" w:sz="0" w:space="0" w:color="auto"/>
        <w:left w:val="none" w:sz="0" w:space="0" w:color="auto"/>
        <w:bottom w:val="none" w:sz="0" w:space="0" w:color="auto"/>
        <w:right w:val="none" w:sz="0" w:space="0" w:color="auto"/>
      </w:divBdr>
    </w:div>
    <w:div w:id="1333800770">
      <w:bodyDiv w:val="1"/>
      <w:marLeft w:val="0"/>
      <w:marRight w:val="0"/>
      <w:marTop w:val="0"/>
      <w:marBottom w:val="0"/>
      <w:divBdr>
        <w:top w:val="none" w:sz="0" w:space="0" w:color="auto"/>
        <w:left w:val="none" w:sz="0" w:space="0" w:color="auto"/>
        <w:bottom w:val="none" w:sz="0" w:space="0" w:color="auto"/>
        <w:right w:val="none" w:sz="0" w:space="0" w:color="auto"/>
      </w:divBdr>
    </w:div>
    <w:div w:id="1578318290">
      <w:bodyDiv w:val="1"/>
      <w:marLeft w:val="0"/>
      <w:marRight w:val="0"/>
      <w:marTop w:val="0"/>
      <w:marBottom w:val="0"/>
      <w:divBdr>
        <w:top w:val="none" w:sz="0" w:space="0" w:color="auto"/>
        <w:left w:val="none" w:sz="0" w:space="0" w:color="auto"/>
        <w:bottom w:val="none" w:sz="0" w:space="0" w:color="auto"/>
        <w:right w:val="none" w:sz="0" w:space="0" w:color="auto"/>
      </w:divBdr>
    </w:div>
    <w:div w:id="1660501179">
      <w:bodyDiv w:val="1"/>
      <w:marLeft w:val="0"/>
      <w:marRight w:val="0"/>
      <w:marTop w:val="0"/>
      <w:marBottom w:val="0"/>
      <w:divBdr>
        <w:top w:val="none" w:sz="0" w:space="0" w:color="auto"/>
        <w:left w:val="none" w:sz="0" w:space="0" w:color="auto"/>
        <w:bottom w:val="none" w:sz="0" w:space="0" w:color="auto"/>
        <w:right w:val="none" w:sz="0" w:space="0" w:color="auto"/>
      </w:divBdr>
    </w:div>
    <w:div w:id="1662659215">
      <w:bodyDiv w:val="1"/>
      <w:marLeft w:val="0"/>
      <w:marRight w:val="0"/>
      <w:marTop w:val="0"/>
      <w:marBottom w:val="0"/>
      <w:divBdr>
        <w:top w:val="none" w:sz="0" w:space="0" w:color="auto"/>
        <w:left w:val="none" w:sz="0" w:space="0" w:color="auto"/>
        <w:bottom w:val="none" w:sz="0" w:space="0" w:color="auto"/>
        <w:right w:val="none" w:sz="0" w:space="0" w:color="auto"/>
      </w:divBdr>
    </w:div>
    <w:div w:id="1907914513">
      <w:bodyDiv w:val="1"/>
      <w:marLeft w:val="0"/>
      <w:marRight w:val="0"/>
      <w:marTop w:val="0"/>
      <w:marBottom w:val="0"/>
      <w:divBdr>
        <w:top w:val="none" w:sz="0" w:space="0" w:color="auto"/>
        <w:left w:val="none" w:sz="0" w:space="0" w:color="auto"/>
        <w:bottom w:val="none" w:sz="0" w:space="0" w:color="auto"/>
        <w:right w:val="none" w:sz="0" w:space="0" w:color="auto"/>
      </w:divBdr>
    </w:div>
    <w:div w:id="1938782944">
      <w:bodyDiv w:val="1"/>
      <w:marLeft w:val="0"/>
      <w:marRight w:val="0"/>
      <w:marTop w:val="0"/>
      <w:marBottom w:val="0"/>
      <w:divBdr>
        <w:top w:val="none" w:sz="0" w:space="0" w:color="auto"/>
        <w:left w:val="none" w:sz="0" w:space="0" w:color="auto"/>
        <w:bottom w:val="none" w:sz="0" w:space="0" w:color="auto"/>
        <w:right w:val="none" w:sz="0" w:space="0" w:color="auto"/>
      </w:divBdr>
    </w:div>
    <w:div w:id="1946379003">
      <w:bodyDiv w:val="1"/>
      <w:marLeft w:val="0"/>
      <w:marRight w:val="0"/>
      <w:marTop w:val="0"/>
      <w:marBottom w:val="0"/>
      <w:divBdr>
        <w:top w:val="none" w:sz="0" w:space="0" w:color="auto"/>
        <w:left w:val="none" w:sz="0" w:space="0" w:color="auto"/>
        <w:bottom w:val="none" w:sz="0" w:space="0" w:color="auto"/>
        <w:right w:val="none" w:sz="0" w:space="0" w:color="auto"/>
      </w:divBdr>
    </w:div>
    <w:div w:id="1950307163">
      <w:bodyDiv w:val="1"/>
      <w:marLeft w:val="0"/>
      <w:marRight w:val="0"/>
      <w:marTop w:val="0"/>
      <w:marBottom w:val="0"/>
      <w:divBdr>
        <w:top w:val="none" w:sz="0" w:space="0" w:color="auto"/>
        <w:left w:val="none" w:sz="0" w:space="0" w:color="auto"/>
        <w:bottom w:val="none" w:sz="0" w:space="0" w:color="auto"/>
        <w:right w:val="none" w:sz="0" w:space="0" w:color="auto"/>
      </w:divBdr>
    </w:div>
    <w:div w:id="2103646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5463</Words>
  <Characters>30050</Characters>
  <Application>Microsoft Office Word</Application>
  <DocSecurity>4</DocSecurity>
  <Lines>250</Lines>
  <Paragraphs>70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vector>
  </TitlesOfParts>
  <Company>Grontmij</Company>
  <LinksUpToDate>false</LinksUpToDate>
  <CharactersWithSpaces>35443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p620579</dc:creator>
  <cp:lastModifiedBy>Eigenaar</cp:lastModifiedBy>
  <cp:revision>2</cp:revision>
  <cp:lastPrinted>2015-01-05T20:40:00Z</cp:lastPrinted>
  <dcterms:created xsi:type="dcterms:W3CDTF">2015-04-29T14:22:00Z</dcterms:created>
  <dcterms:modified xsi:type="dcterms:W3CDTF">2015-04-29T14:22:00Z</dcterms:modified>
</cp:coreProperties>
</file>